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E26D9" w14:textId="77777777" w:rsidR="00D97C48" w:rsidRDefault="00D97C48" w:rsidP="00D97C48">
      <w:pPr>
        <w:rPr>
          <w:rFonts w:ascii="Times" w:hAnsi="Times"/>
          <w:b/>
          <w:sz w:val="32"/>
        </w:rPr>
      </w:pPr>
      <w:r>
        <w:rPr>
          <w:rFonts w:ascii="Times" w:hAnsi="Times"/>
          <w:b/>
          <w:sz w:val="32"/>
        </w:rPr>
        <w:t>Reality Math</w:t>
      </w:r>
    </w:p>
    <w:p w14:paraId="56E54745" w14:textId="77777777" w:rsidR="00D97C48" w:rsidRDefault="00D97C48" w:rsidP="00D97C48">
      <w:pPr>
        <w:rPr>
          <w:rFonts w:ascii="Times" w:hAnsi="Times"/>
          <w:b/>
          <w:sz w:val="32"/>
        </w:rPr>
      </w:pPr>
    </w:p>
    <w:p w14:paraId="17063A5D" w14:textId="77777777" w:rsidR="00DA09E7" w:rsidRDefault="00D97C48">
      <w:pPr>
        <w:rPr>
          <w:rFonts w:ascii="Times" w:hAnsi="Times"/>
          <w:b/>
          <w:sz w:val="32"/>
        </w:rPr>
      </w:pPr>
      <w:r>
        <w:rPr>
          <w:rFonts w:ascii="Times" w:hAnsi="Times"/>
          <w:b/>
          <w:sz w:val="32"/>
        </w:rPr>
        <w:t>Dot Sulock, University of North Carolina at Asheville</w:t>
      </w:r>
    </w:p>
    <w:p w14:paraId="5C85E7AC" w14:textId="77777777" w:rsidR="00DA09E7" w:rsidRDefault="00DA09E7">
      <w:pPr>
        <w:rPr>
          <w:rFonts w:ascii="Times" w:hAnsi="Times"/>
          <w:b/>
          <w:sz w:val="32"/>
        </w:rPr>
      </w:pPr>
    </w:p>
    <w:p w14:paraId="454DD24A" w14:textId="64F9C19F" w:rsidR="008D735F" w:rsidRDefault="008D735F">
      <w:pPr>
        <w:rPr>
          <w:rFonts w:ascii="Times" w:hAnsi="Times"/>
          <w:b/>
          <w:sz w:val="32"/>
        </w:rPr>
      </w:pPr>
      <w:bookmarkStart w:id="0" w:name="_GoBack"/>
      <w:bookmarkEnd w:id="0"/>
      <w:r>
        <w:rPr>
          <w:rFonts w:ascii="Times" w:hAnsi="Times"/>
          <w:b/>
          <w:sz w:val="32"/>
        </w:rPr>
        <w:t>Renewable</w:t>
      </w:r>
      <w:r w:rsidR="00421E7F">
        <w:rPr>
          <w:rFonts w:ascii="Times" w:hAnsi="Times"/>
          <w:b/>
          <w:sz w:val="32"/>
        </w:rPr>
        <w:t>s</w:t>
      </w:r>
      <w:r>
        <w:rPr>
          <w:rFonts w:ascii="Times" w:hAnsi="Times"/>
          <w:b/>
          <w:sz w:val="32"/>
        </w:rPr>
        <w:t xml:space="preserve"> in Australia</w:t>
      </w:r>
    </w:p>
    <w:p w14:paraId="02F1A31E" w14:textId="77777777" w:rsidR="001B6D57" w:rsidRDefault="001B6D57">
      <w:pPr>
        <w:rPr>
          <w:b/>
          <w:sz w:val="32"/>
          <w:szCs w:val="32"/>
        </w:rPr>
      </w:pPr>
    </w:p>
    <w:p w14:paraId="0B0B6807" w14:textId="1FBDC278" w:rsidR="001B6D57" w:rsidRPr="001B6D57" w:rsidRDefault="004F002D">
      <w:pPr>
        <w:rPr>
          <w:b/>
          <w:sz w:val="28"/>
          <w:szCs w:val="28"/>
        </w:rPr>
      </w:pPr>
      <w:r>
        <w:rPr>
          <w:b/>
          <w:sz w:val="28"/>
          <w:szCs w:val="28"/>
        </w:rPr>
        <w:tab/>
      </w:r>
      <w:r w:rsidR="001B6D57" w:rsidRPr="001B6D57">
        <w:rPr>
          <w:b/>
          <w:sz w:val="28"/>
          <w:szCs w:val="28"/>
        </w:rPr>
        <w:t>1.  Wave Energy</w:t>
      </w:r>
    </w:p>
    <w:p w14:paraId="4FA29BE0" w14:textId="77777777" w:rsidR="001B6D57" w:rsidRDefault="001B6D57">
      <w:pPr>
        <w:rPr>
          <w:b/>
          <w:sz w:val="28"/>
          <w:szCs w:val="28"/>
        </w:rPr>
      </w:pPr>
    </w:p>
    <w:p w14:paraId="2C42CE36" w14:textId="77777777" w:rsidR="001B6D57" w:rsidRPr="001B6D57" w:rsidRDefault="001B6D57">
      <w:r>
        <w:rPr>
          <w:b/>
          <w:sz w:val="28"/>
          <w:szCs w:val="28"/>
        </w:rPr>
        <w:tab/>
      </w:r>
      <w:r w:rsidRPr="001B6D57">
        <w:t>More than 100 different technologies for translating the energy of ocean waves into electricity are currently being researched.  PowerBuoy, patented and manufactured by Ocean Power Technologies (OPT) is one of the more advanced efforts.</w:t>
      </w:r>
    </w:p>
    <w:p w14:paraId="19EDC31D" w14:textId="77777777" w:rsidR="001B6D57" w:rsidRPr="001B6D57" w:rsidRDefault="001B6D57">
      <w:pPr>
        <w:rPr>
          <w:sz w:val="28"/>
          <w:szCs w:val="28"/>
        </w:rPr>
      </w:pPr>
    </w:p>
    <w:p w14:paraId="5162ECAD" w14:textId="0EB891F6" w:rsidR="001B6D57" w:rsidRPr="001B6D57" w:rsidRDefault="001B6D57">
      <w:pPr>
        <w:rPr>
          <w:rFonts w:eastAsiaTheme="minorEastAsia"/>
          <w:color w:val="565759"/>
        </w:rPr>
      </w:pPr>
      <w:r>
        <w:rPr>
          <w:rFonts w:ascii="Times" w:eastAsiaTheme="minorEastAsia" w:hAnsi="Times" w:cs="Helvetica"/>
          <w:color w:val="565759"/>
        </w:rPr>
        <w:tab/>
      </w:r>
      <w:r w:rsidRPr="001B6D57">
        <w:rPr>
          <w:rFonts w:eastAsiaTheme="minorEastAsia"/>
          <w:color w:val="565759"/>
        </w:rPr>
        <w:t xml:space="preserve">US Defense contractor Lockheed Martin is constructing a 62.5-megawatt peak </w:t>
      </w:r>
      <w:r w:rsidR="00400D8E">
        <w:rPr>
          <w:rFonts w:eastAsiaTheme="minorEastAsia"/>
          <w:color w:val="565759"/>
        </w:rPr>
        <w:tab/>
      </w:r>
      <w:r w:rsidRPr="001B6D57">
        <w:rPr>
          <w:rFonts w:eastAsiaTheme="minorEastAsia"/>
          <w:color w:val="565759"/>
        </w:rPr>
        <w:t xml:space="preserve">power wave energy generation project off the coast of Victoria, Australia, using </w:t>
      </w:r>
      <w:r w:rsidR="00400D8E">
        <w:rPr>
          <w:rFonts w:eastAsiaTheme="minorEastAsia"/>
          <w:color w:val="565759"/>
        </w:rPr>
        <w:tab/>
      </w:r>
      <w:r w:rsidRPr="001B6D57">
        <w:rPr>
          <w:rFonts w:eastAsiaTheme="minorEastAsia"/>
          <w:color w:val="565759"/>
        </w:rPr>
        <w:t xml:space="preserve">the PowerBuoy® wave energy converter technology of Ocean Power </w:t>
      </w:r>
      <w:r w:rsidR="00400D8E">
        <w:rPr>
          <w:rFonts w:eastAsiaTheme="minorEastAsia"/>
          <w:color w:val="565759"/>
        </w:rPr>
        <w:tab/>
      </w:r>
      <w:r w:rsidRPr="001B6D57">
        <w:rPr>
          <w:rFonts w:eastAsiaTheme="minorEastAsia"/>
          <w:color w:val="565759"/>
        </w:rPr>
        <w:t xml:space="preserve">Technologies (OPT).  The project is expected to produce enough energy to meet </w:t>
      </w:r>
      <w:r w:rsidR="00400D8E">
        <w:rPr>
          <w:rFonts w:eastAsiaTheme="minorEastAsia"/>
          <w:color w:val="565759"/>
        </w:rPr>
        <w:tab/>
      </w:r>
      <w:r w:rsidRPr="001B6D57">
        <w:rPr>
          <w:rFonts w:eastAsiaTheme="minorEastAsia"/>
          <w:color w:val="565759"/>
        </w:rPr>
        <w:t>the needs of 10,000 homes. As this project also contributes to Australia’s goa</w:t>
      </w:r>
      <w:r w:rsidR="006F0C13">
        <w:rPr>
          <w:rFonts w:eastAsiaTheme="minorEastAsia"/>
          <w:color w:val="565759"/>
        </w:rPr>
        <w:t xml:space="preserve">l of </w:t>
      </w:r>
      <w:r w:rsidR="00400D8E">
        <w:rPr>
          <w:rFonts w:eastAsiaTheme="minorEastAsia"/>
          <w:color w:val="565759"/>
        </w:rPr>
        <w:tab/>
      </w:r>
      <w:r w:rsidR="006F0C13">
        <w:rPr>
          <w:rFonts w:eastAsiaTheme="minorEastAsia"/>
          <w:color w:val="565759"/>
        </w:rPr>
        <w:t>20 percent renewable electricity</w:t>
      </w:r>
      <w:r w:rsidRPr="001B6D57">
        <w:rPr>
          <w:rFonts w:eastAsiaTheme="minorEastAsia"/>
          <w:color w:val="565759"/>
        </w:rPr>
        <w:t xml:space="preserve"> by 2020, it has received significant grant support </w:t>
      </w:r>
      <w:r w:rsidR="00400D8E">
        <w:rPr>
          <w:rFonts w:eastAsiaTheme="minorEastAsia"/>
          <w:color w:val="565759"/>
        </w:rPr>
        <w:tab/>
      </w:r>
      <w:r w:rsidRPr="001B6D57">
        <w:rPr>
          <w:rFonts w:eastAsiaTheme="minorEastAsia"/>
          <w:color w:val="565759"/>
        </w:rPr>
        <w:t>from ARENA (Australian Renewable Energy Agency).</w:t>
      </w:r>
    </w:p>
    <w:p w14:paraId="5B1E8B14" w14:textId="4E6B13F7" w:rsidR="001B6D57" w:rsidRPr="004F002D" w:rsidRDefault="00400D8E">
      <w:pPr>
        <w:rPr>
          <w:sz w:val="20"/>
          <w:szCs w:val="20"/>
        </w:rPr>
      </w:pPr>
      <w:r>
        <w:tab/>
      </w:r>
      <w:hyperlink r:id="rId7" w:history="1">
        <w:r w:rsidRPr="004F002D">
          <w:rPr>
            <w:rStyle w:val="Hyperlink"/>
            <w:sz w:val="20"/>
            <w:szCs w:val="20"/>
            <w:u w:val="none"/>
          </w:rPr>
          <w:t xml:space="preserve">http://www.lockheedmartin.com/us/news/press-releases/2014/february/140211-mst-worlds-  </w:t>
        </w:r>
        <w:r w:rsidRPr="004F002D">
          <w:rPr>
            <w:rStyle w:val="Hyperlink"/>
            <w:sz w:val="20"/>
            <w:szCs w:val="20"/>
            <w:u w:val="none"/>
          </w:rPr>
          <w:tab/>
        </w:r>
        <w:r w:rsidRPr="004F002D">
          <w:rPr>
            <w:rStyle w:val="Hyperlink"/>
            <w:sz w:val="20"/>
            <w:szCs w:val="20"/>
            <w:u w:val="none"/>
          </w:rPr>
          <w:tab/>
          <w:t>largest-wave-energy-project.html</w:t>
        </w:r>
      </w:hyperlink>
    </w:p>
    <w:p w14:paraId="3DCA5D20" w14:textId="77777777" w:rsidR="001B6D57" w:rsidRPr="004F002D" w:rsidRDefault="001B6D57">
      <w:pPr>
        <w:rPr>
          <w:b/>
          <w:sz w:val="32"/>
          <w:szCs w:val="32"/>
        </w:rPr>
      </w:pPr>
    </w:p>
    <w:p w14:paraId="17636CD2" w14:textId="77777777" w:rsidR="001B6D57" w:rsidRDefault="001B6D57">
      <w:pPr>
        <w:rPr>
          <w:b/>
          <w:sz w:val="32"/>
          <w:szCs w:val="32"/>
        </w:rPr>
      </w:pPr>
      <w:r>
        <w:rPr>
          <w:b/>
          <w:sz w:val="32"/>
          <w:szCs w:val="32"/>
        </w:rPr>
        <w:tab/>
      </w:r>
      <w:r>
        <w:rPr>
          <w:b/>
          <w:noProof/>
          <w:sz w:val="32"/>
          <w:szCs w:val="32"/>
        </w:rPr>
        <w:drawing>
          <wp:inline distT="0" distB="0" distL="0" distR="0" wp14:anchorId="550647B4" wp14:editId="6CF9AEF0">
            <wp:extent cx="2448560" cy="3251200"/>
            <wp:effectExtent l="0" t="0" r="0" b="0"/>
            <wp:docPr id="1" name="Picture 1" descr="Macintosh HD:Users:dsulock:Desktop: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sulock:Desktop:image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8560" cy="3251200"/>
                    </a:xfrm>
                    <a:prstGeom prst="rect">
                      <a:avLst/>
                    </a:prstGeom>
                    <a:noFill/>
                    <a:ln>
                      <a:noFill/>
                    </a:ln>
                  </pic:spPr>
                </pic:pic>
              </a:graphicData>
            </a:graphic>
          </wp:inline>
        </w:drawing>
      </w:r>
    </w:p>
    <w:p w14:paraId="5C525FBF" w14:textId="77777777" w:rsidR="001B6D57" w:rsidRDefault="001B6D57">
      <w:pPr>
        <w:rPr>
          <w:b/>
          <w:sz w:val="32"/>
          <w:szCs w:val="32"/>
        </w:rPr>
      </w:pPr>
    </w:p>
    <w:p w14:paraId="5F3009B6" w14:textId="77777777" w:rsidR="001B6D57" w:rsidRDefault="001B6D57">
      <w:r>
        <w:rPr>
          <w:b/>
          <w:sz w:val="32"/>
          <w:szCs w:val="32"/>
        </w:rPr>
        <w:tab/>
      </w:r>
      <w:r>
        <w:t>According to OPT, the capacity factor for PowerBuoy is between 30% and 50%.</w:t>
      </w:r>
    </w:p>
    <w:p w14:paraId="50F17776" w14:textId="77777777" w:rsidR="001B6D57" w:rsidRDefault="001B6D57"/>
    <w:p w14:paraId="5A80DCBB" w14:textId="7867C672" w:rsidR="006F0C13" w:rsidRDefault="001B6D57">
      <w:r>
        <w:lastRenderedPageBreak/>
        <w:tab/>
        <w:t xml:space="preserve">1.  </w:t>
      </w:r>
      <w:r>
        <w:tab/>
      </w:r>
      <w:r w:rsidR="00136F55">
        <w:t xml:space="preserve">(a)  </w:t>
      </w:r>
      <w:r w:rsidR="006F0C13">
        <w:t xml:space="preserve">This 62.5 MW </w:t>
      </w:r>
      <w:r w:rsidR="004F002D">
        <w:t xml:space="preserve">peak power </w:t>
      </w:r>
      <w:r w:rsidR="006F0C13">
        <w:t>wave farm will</w:t>
      </w:r>
      <w:r w:rsidR="00136F55">
        <w:t xml:space="preserve"> actually</w:t>
      </w:r>
      <w:r w:rsidR="006F0C13">
        <w:t xml:space="preserve"> produce an </w:t>
      </w:r>
      <w:r w:rsidR="004F002D">
        <w:tab/>
      </w:r>
      <w:r w:rsidR="004F002D">
        <w:tab/>
      </w:r>
      <w:r w:rsidR="004F002D">
        <w:tab/>
      </w:r>
      <w:r w:rsidR="004F002D">
        <w:tab/>
      </w:r>
      <w:r w:rsidR="006F0C13">
        <w:t xml:space="preserve">average flow of how many MW?  Use the average of the given capacity </w:t>
      </w:r>
      <w:r w:rsidR="004F002D">
        <w:tab/>
      </w:r>
      <w:r w:rsidR="004F002D">
        <w:tab/>
      </w:r>
      <w:r w:rsidR="004F002D">
        <w:tab/>
      </w:r>
      <w:r w:rsidR="006F0C13">
        <w:t>factors.</w:t>
      </w:r>
    </w:p>
    <w:p w14:paraId="1CA0DD3C" w14:textId="77777777" w:rsidR="00136F55" w:rsidRDefault="00136F55">
      <w:r>
        <w:tab/>
      </w:r>
      <w:r>
        <w:tab/>
        <w:t>(b</w:t>
      </w:r>
      <w:r w:rsidR="001B6D57">
        <w:t xml:space="preserve">) Assuming that Australian homes use about 1 kW all the time, similar </w:t>
      </w:r>
      <w:r>
        <w:tab/>
      </w:r>
      <w:r>
        <w:tab/>
      </w:r>
      <w:r>
        <w:tab/>
        <w:t xml:space="preserve">to </w:t>
      </w:r>
      <w:r w:rsidR="001B6D57">
        <w:t>US</w:t>
      </w:r>
      <w:r>
        <w:t xml:space="preserve"> homes, estimate the number of </w:t>
      </w:r>
      <w:r w:rsidR="001B6D57">
        <w:t xml:space="preserve">homes whose electricity could be </w:t>
      </w:r>
      <w:r>
        <w:tab/>
      </w:r>
      <w:r>
        <w:tab/>
      </w:r>
      <w:r>
        <w:tab/>
      </w:r>
      <w:r w:rsidR="001B6D57">
        <w:t xml:space="preserve">provided by </w:t>
      </w:r>
      <w:r>
        <w:t>this</w:t>
      </w:r>
      <w:r w:rsidR="001B6D57">
        <w:t xml:space="preserve"> 62.5 MW peak power wave farm</w:t>
      </w:r>
      <w:r w:rsidR="006F0C13">
        <w:t>.</w:t>
      </w:r>
      <w:r w:rsidR="001B6D57">
        <w:tab/>
      </w:r>
      <w:r w:rsidR="006F0C13">
        <w:tab/>
      </w:r>
    </w:p>
    <w:p w14:paraId="6253FE78" w14:textId="7A4DB17E" w:rsidR="006F0C13" w:rsidRDefault="00136F55">
      <w:r>
        <w:tab/>
      </w:r>
      <w:r>
        <w:tab/>
      </w:r>
      <w:r w:rsidR="004F002D">
        <w:t>(c</w:t>
      </w:r>
      <w:r w:rsidR="001B6D57">
        <w:t>)</w:t>
      </w:r>
      <w:r w:rsidR="006F0C13">
        <w:t xml:space="preserve">  </w:t>
      </w:r>
      <w:r w:rsidR="004F002D">
        <w:t xml:space="preserve">Reflect.  </w:t>
      </w:r>
      <w:r w:rsidR="006F0C13">
        <w:t>Compare your finding to the numbe</w:t>
      </w:r>
      <w:r>
        <w:t>r</w:t>
      </w:r>
      <w:r w:rsidR="004F002D">
        <w:t xml:space="preserve"> of households</w:t>
      </w:r>
      <w:r>
        <w:t xml:space="preserve"> given in </w:t>
      </w:r>
      <w:r w:rsidR="004F002D">
        <w:tab/>
      </w:r>
      <w:r w:rsidR="004F002D">
        <w:tab/>
      </w:r>
      <w:r w:rsidR="004F002D">
        <w:tab/>
      </w:r>
      <w:r>
        <w:t xml:space="preserve">the </w:t>
      </w:r>
      <w:r w:rsidR="004F002D">
        <w:t xml:space="preserve">article.  If the article </w:t>
      </w:r>
      <w:r>
        <w:t>estimate</w:t>
      </w:r>
      <w:r w:rsidR="004F002D">
        <w:t xml:space="preserve"> of households</w:t>
      </w:r>
      <w:r w:rsidR="006F0C13">
        <w:t xml:space="preserve"> differ</w:t>
      </w:r>
      <w:r>
        <w:t xml:space="preserve">s </w:t>
      </w:r>
      <w:r w:rsidR="006F0C13">
        <w:t>greatly from you</w:t>
      </w:r>
      <w:r w:rsidR="004F002D">
        <w:t xml:space="preserve">r </w:t>
      </w:r>
      <w:r w:rsidR="004F002D">
        <w:tab/>
      </w:r>
      <w:r w:rsidR="004F002D">
        <w:tab/>
      </w:r>
      <w:r w:rsidR="004F002D">
        <w:tab/>
        <w:t>finding</w:t>
      </w:r>
      <w:r w:rsidR="006F0C13">
        <w:t>, why might that be?</w:t>
      </w:r>
    </w:p>
    <w:p w14:paraId="4B5619DC" w14:textId="77777777" w:rsidR="006F0C13" w:rsidRDefault="006F0C13"/>
    <w:p w14:paraId="1ECB7B05" w14:textId="77777777" w:rsidR="00400D8E" w:rsidRDefault="006F0C13">
      <w:r>
        <w:tab/>
        <w:t xml:space="preserve">2.  </w:t>
      </w:r>
      <w:r>
        <w:tab/>
        <w:t xml:space="preserve">According to the CIA World Factbook, Australia uses about </w:t>
      </w:r>
    </w:p>
    <w:p w14:paraId="412AE5B6" w14:textId="119F1A39" w:rsidR="006F0C13" w:rsidRDefault="00400D8E">
      <w:r>
        <w:tab/>
      </w:r>
      <w:r w:rsidR="004F002D">
        <w:tab/>
      </w:r>
      <w:r>
        <w:t xml:space="preserve">215 billion </w:t>
      </w:r>
      <w:r w:rsidR="006F0C13">
        <w:t xml:space="preserve">kWh of electricity per year. </w:t>
      </w:r>
    </w:p>
    <w:p w14:paraId="25BB5A53" w14:textId="46048219" w:rsidR="006F0C13" w:rsidRDefault="006F0C13">
      <w:r>
        <w:tab/>
      </w:r>
      <w:r>
        <w:tab/>
        <w:t>(a)  A flow of how many kW would</w:t>
      </w:r>
      <w:r w:rsidR="004F002D">
        <w:t xml:space="preserve"> be required to</w:t>
      </w:r>
      <w:r>
        <w:t xml:space="preserve"> produce 215 billion </w:t>
      </w:r>
      <w:r w:rsidR="004F002D">
        <w:tab/>
      </w:r>
      <w:r w:rsidR="004F002D">
        <w:tab/>
      </w:r>
      <w:r w:rsidR="004F002D">
        <w:tab/>
      </w:r>
      <w:r>
        <w:t>kWh/year?</w:t>
      </w:r>
    </w:p>
    <w:p w14:paraId="1F84E883" w14:textId="77777777" w:rsidR="006F0C13" w:rsidRDefault="006F0C13">
      <w:r>
        <w:tab/>
      </w:r>
      <w:r>
        <w:tab/>
        <w:t>(b)  A flow of how many MW would produce 215 billion kWh/year?</w:t>
      </w:r>
    </w:p>
    <w:p w14:paraId="48D8B292" w14:textId="77777777" w:rsidR="006F0C13" w:rsidRDefault="006F0C13">
      <w:r>
        <w:tab/>
      </w:r>
      <w:r>
        <w:tab/>
        <w:t>(c)  Australia expects</w:t>
      </w:r>
      <w:r w:rsidR="00136F55">
        <w:t xml:space="preserve"> to have a flow of how many renewable MW by </w:t>
      </w:r>
      <w:r w:rsidR="00136F55">
        <w:tab/>
      </w:r>
      <w:r w:rsidR="00136F55">
        <w:tab/>
      </w:r>
      <w:r w:rsidR="00136F55">
        <w:tab/>
        <w:t>2020?</w:t>
      </w:r>
    </w:p>
    <w:p w14:paraId="3C4761BB" w14:textId="77777777" w:rsidR="00136F55" w:rsidRDefault="00136F55">
      <w:r>
        <w:tab/>
      </w:r>
      <w:r>
        <w:tab/>
        <w:t>(d)  How many 62.5 MW wave farms would it take to produce Australia’s</w:t>
      </w:r>
      <w:r>
        <w:tab/>
      </w:r>
      <w:r>
        <w:tab/>
      </w:r>
      <w:r>
        <w:tab/>
        <w:t>2020 renewable flow goal by wave farms alone?</w:t>
      </w:r>
    </w:p>
    <w:p w14:paraId="6910F9A8" w14:textId="77777777" w:rsidR="00744194" w:rsidRDefault="00744194"/>
    <w:p w14:paraId="7A564543" w14:textId="1AE040A8" w:rsidR="00C017EA" w:rsidRDefault="00C017EA">
      <w:r>
        <w:t>Carnegie, an Australian wave energy corporation, is working on a radically different kind of wave energy for Australia, called CETO, which is not an acronym but the nam</w:t>
      </w:r>
      <w:r w:rsidR="004F002D">
        <w:t>e of a Greek sea goddess.  V</w:t>
      </w:r>
      <w:r>
        <w:t>ideos</w:t>
      </w:r>
      <w:r w:rsidR="004F002D">
        <w:t xml:space="preserve"> about CETO can be viewed</w:t>
      </w:r>
      <w:r>
        <w:t xml:space="preserve"> at </w:t>
      </w:r>
      <w:hyperlink r:id="rId9" w:history="1">
        <w:r w:rsidRPr="004959FB">
          <w:rPr>
            <w:rStyle w:val="Hyperlink"/>
          </w:rPr>
          <w:t>http://www.carnegiewave.com/index.php?url=/media/videolibrary-4</w:t>
        </w:r>
      </w:hyperlink>
    </w:p>
    <w:p w14:paraId="0121E3CF" w14:textId="77777777" w:rsidR="00C017EA" w:rsidRDefault="00C017EA"/>
    <w:p w14:paraId="4B469FC3" w14:textId="5AAC213C" w:rsidR="00744194" w:rsidRDefault="00C017EA">
      <w:r>
        <w:t>According to Carnegie,</w:t>
      </w:r>
    </w:p>
    <w:p w14:paraId="6AD457A9" w14:textId="77777777" w:rsidR="00C017EA" w:rsidRDefault="00C017EA"/>
    <w:p w14:paraId="38D5FA2F" w14:textId="0C8C7839" w:rsidR="00C017EA" w:rsidRPr="004F002D" w:rsidRDefault="00C017EA">
      <w:pPr>
        <w:rPr>
          <w:rFonts w:ascii="Times" w:eastAsiaTheme="minorEastAsia" w:hAnsi="Times" w:cs="Arial"/>
          <w:color w:val="414134"/>
        </w:rPr>
      </w:pPr>
      <w:r>
        <w:tab/>
      </w:r>
      <w:r w:rsidRPr="004F002D">
        <w:rPr>
          <w:rFonts w:ascii="Times" w:eastAsiaTheme="minorEastAsia" w:hAnsi="Times" w:cs="Arial"/>
          <w:color w:val="414134"/>
        </w:rPr>
        <w:t xml:space="preserve">Australia has a significant wave energy resource that has been confirmed by both </w:t>
      </w:r>
      <w:r w:rsidR="004F002D">
        <w:rPr>
          <w:rFonts w:ascii="Times" w:eastAsiaTheme="minorEastAsia" w:hAnsi="Times" w:cs="Arial"/>
          <w:color w:val="414134"/>
        </w:rPr>
        <w:tab/>
      </w:r>
      <w:r w:rsidRPr="004F002D">
        <w:rPr>
          <w:rFonts w:ascii="Times" w:eastAsiaTheme="minorEastAsia" w:hAnsi="Times" w:cs="Arial"/>
          <w:color w:val="414134"/>
        </w:rPr>
        <w:t>internal Carnegie studies as well as national studies by the CSIRO.</w:t>
      </w:r>
      <w:r w:rsidR="00400D8E" w:rsidRPr="004F002D">
        <w:rPr>
          <w:rFonts w:ascii="Times" w:eastAsiaTheme="minorEastAsia" w:hAnsi="Times" w:cs="Arial"/>
          <w:color w:val="414134"/>
        </w:rPr>
        <w:t xml:space="preserve"> </w:t>
      </w:r>
      <w:r w:rsidRPr="004F002D">
        <w:rPr>
          <w:rFonts w:ascii="Times" w:eastAsiaTheme="minorEastAsia" w:hAnsi="Times" w:cs="Arial"/>
          <w:color w:val="414134"/>
        </w:rPr>
        <w:t xml:space="preserve">In 2012, the </w:t>
      </w:r>
      <w:r w:rsidR="004F002D">
        <w:rPr>
          <w:rFonts w:ascii="Times" w:eastAsiaTheme="minorEastAsia" w:hAnsi="Times" w:cs="Arial"/>
          <w:color w:val="414134"/>
        </w:rPr>
        <w:tab/>
      </w:r>
      <w:r w:rsidRPr="004F002D">
        <w:rPr>
          <w:rFonts w:ascii="Times" w:eastAsiaTheme="minorEastAsia" w:hAnsi="Times" w:cs="Arial"/>
          <w:color w:val="414134"/>
        </w:rPr>
        <w:t xml:space="preserve">CSIRO (Commonwealth Scientific and Industrial Research Organisation), </w:t>
      </w:r>
      <w:r w:rsidR="004F002D">
        <w:rPr>
          <w:rFonts w:ascii="Times" w:eastAsiaTheme="minorEastAsia" w:hAnsi="Times" w:cs="Arial"/>
          <w:color w:val="414134"/>
        </w:rPr>
        <w:tab/>
      </w:r>
      <w:r w:rsidRPr="004F002D">
        <w:rPr>
          <w:rFonts w:ascii="Times" w:eastAsiaTheme="minorEastAsia" w:hAnsi="Times" w:cs="Arial"/>
          <w:color w:val="414134"/>
        </w:rPr>
        <w:t xml:space="preserve">released a report on Ocean Renewable Energy that concluded that the near shore </w:t>
      </w:r>
      <w:r w:rsidR="004F002D">
        <w:rPr>
          <w:rFonts w:ascii="Times" w:eastAsiaTheme="minorEastAsia" w:hAnsi="Times" w:cs="Arial"/>
          <w:color w:val="414134"/>
        </w:rPr>
        <w:tab/>
      </w:r>
      <w:r w:rsidRPr="004F002D">
        <w:rPr>
          <w:rFonts w:ascii="Times" w:eastAsiaTheme="minorEastAsia" w:hAnsi="Times" w:cs="Arial"/>
          <w:color w:val="414134"/>
        </w:rPr>
        <w:t xml:space="preserve">wave energy between </w:t>
      </w:r>
      <w:r w:rsidRPr="004F002D">
        <w:rPr>
          <w:rFonts w:ascii="Times" w:eastAsiaTheme="minorEastAsia" w:hAnsi="Times" w:cs="Arial"/>
          <w:color w:val="414134"/>
        </w:rPr>
        <w:tab/>
        <w:t xml:space="preserve">Geraldton and Tasmania was some 1300Twh/year or about </w:t>
      </w:r>
      <w:r w:rsidR="004F002D">
        <w:rPr>
          <w:rFonts w:ascii="Times" w:eastAsiaTheme="minorEastAsia" w:hAnsi="Times" w:cs="Arial"/>
          <w:color w:val="414134"/>
        </w:rPr>
        <w:tab/>
      </w:r>
      <w:r w:rsidRPr="004F002D">
        <w:rPr>
          <w:rFonts w:ascii="Times" w:eastAsiaTheme="minorEastAsia" w:hAnsi="Times" w:cs="Arial"/>
          <w:color w:val="414134"/>
        </w:rPr>
        <w:t>five times Australia's total electricity demand.</w:t>
      </w:r>
    </w:p>
    <w:p w14:paraId="187D96A4" w14:textId="0484844E" w:rsidR="00C017EA" w:rsidRPr="004F002D" w:rsidRDefault="00C017EA">
      <w:pPr>
        <w:rPr>
          <w:rFonts w:ascii="Times" w:hAnsi="Times"/>
        </w:rPr>
      </w:pPr>
      <w:r w:rsidRPr="004F002D">
        <w:rPr>
          <w:rFonts w:ascii="Times" w:eastAsiaTheme="minorEastAsia" w:hAnsi="Times" w:cs="Arial"/>
          <w:color w:val="414134"/>
        </w:rPr>
        <w:tab/>
      </w:r>
      <w:hyperlink r:id="rId10" w:history="1">
        <w:r w:rsidRPr="004F002D">
          <w:rPr>
            <w:rStyle w:val="Hyperlink"/>
            <w:rFonts w:ascii="Times" w:hAnsi="Times"/>
          </w:rPr>
          <w:t>http://www.carnegiewave.com/index.php?url=/ceto/australian-sites</w:t>
        </w:r>
      </w:hyperlink>
    </w:p>
    <w:p w14:paraId="653BCCD4" w14:textId="77777777" w:rsidR="00C017EA" w:rsidRDefault="00C017EA"/>
    <w:p w14:paraId="0AFAEFC4" w14:textId="77777777" w:rsidR="008D735F" w:rsidRDefault="008D735F"/>
    <w:p w14:paraId="0C2D3AEB" w14:textId="13D43CFA" w:rsidR="00C017EA" w:rsidRDefault="004F002D">
      <w:r>
        <w:tab/>
        <w:t xml:space="preserve">3.  Reflect.  </w:t>
      </w:r>
      <w:r w:rsidR="00C017EA">
        <w:t>The near shore wave energy for a stretch of coast is about</w:t>
      </w:r>
    </w:p>
    <w:p w14:paraId="0AF89883" w14:textId="17122DAD" w:rsidR="00C017EA" w:rsidRDefault="00C017EA">
      <w:r>
        <w:tab/>
      </w:r>
      <w:r>
        <w:tab/>
        <w:t xml:space="preserve">1300 TWh/year or about </w:t>
      </w:r>
      <w:r w:rsidR="00421E7F">
        <w:t>5 times Australia’s total electricity</w:t>
      </w:r>
      <w:r w:rsidR="004F002D">
        <w:t xml:space="preserve"> demand!</w:t>
      </w:r>
    </w:p>
    <w:p w14:paraId="729460EF" w14:textId="1ED86BDF" w:rsidR="00C017EA" w:rsidRDefault="00421E7F">
      <w:r>
        <w:tab/>
      </w:r>
      <w:r>
        <w:tab/>
        <w:t>Is 1300 TWh/year</w:t>
      </w:r>
      <w:r w:rsidR="00C017EA">
        <w:t xml:space="preserve"> abou</w:t>
      </w:r>
      <w:r>
        <w:t>t 5 times Australia’s total electricity demand?</w:t>
      </w:r>
    </w:p>
    <w:p w14:paraId="6FAF178F" w14:textId="70A689E9" w:rsidR="00421E7F" w:rsidRDefault="00421E7F">
      <w:r>
        <w:tab/>
      </w:r>
      <w:r>
        <w:tab/>
        <w:t>Show why or why not.</w:t>
      </w:r>
      <w:r w:rsidR="00400D8E">
        <w:t xml:space="preserve">  </w:t>
      </w:r>
      <w:r w:rsidR="00400D8E">
        <w:tab/>
        <w:t>1000 GW</w:t>
      </w:r>
      <w:r w:rsidR="004F002D">
        <w:t xml:space="preserve">h  = 1 TWh </w:t>
      </w:r>
      <w:r w:rsidR="00400D8E">
        <w:t>(terawatt</w:t>
      </w:r>
      <w:r w:rsidR="004F002D">
        <w:t>-hour</w:t>
      </w:r>
      <w:r w:rsidR="00400D8E">
        <w:t>)</w:t>
      </w:r>
    </w:p>
    <w:p w14:paraId="26B3C9E1" w14:textId="79F022D0" w:rsidR="00400D8E" w:rsidRDefault="00400D8E">
      <w:r>
        <w:tab/>
      </w:r>
      <w:r>
        <w:tab/>
      </w:r>
      <w:r>
        <w:tab/>
      </w:r>
      <w:r>
        <w:tab/>
      </w:r>
      <w:r>
        <w:tab/>
      </w:r>
      <w:r>
        <w:tab/>
        <w:t>1000 MW</w:t>
      </w:r>
      <w:r w:rsidR="004F002D">
        <w:t>h</w:t>
      </w:r>
      <w:r>
        <w:t xml:space="preserve"> = 1 GW</w:t>
      </w:r>
      <w:r w:rsidR="004F002D">
        <w:t>h</w:t>
      </w:r>
      <w:r>
        <w:t xml:space="preserve"> (gigawatt</w:t>
      </w:r>
      <w:r w:rsidR="004F002D">
        <w:t>-hour</w:t>
      </w:r>
      <w:r>
        <w:t>)</w:t>
      </w:r>
    </w:p>
    <w:p w14:paraId="5A5484D1" w14:textId="7340B107" w:rsidR="00400D8E" w:rsidRDefault="00400D8E">
      <w:r>
        <w:tab/>
      </w:r>
      <w:r>
        <w:tab/>
      </w:r>
      <w:r>
        <w:tab/>
      </w:r>
      <w:r>
        <w:tab/>
      </w:r>
      <w:r>
        <w:tab/>
      </w:r>
      <w:r>
        <w:tab/>
        <w:t>1000 kW</w:t>
      </w:r>
      <w:r w:rsidR="004F002D">
        <w:t>h</w:t>
      </w:r>
      <w:r>
        <w:t xml:space="preserve"> = 1 MW</w:t>
      </w:r>
      <w:r w:rsidR="004F002D">
        <w:t>h</w:t>
      </w:r>
      <w:r>
        <w:t xml:space="preserve"> (megawatt</w:t>
      </w:r>
      <w:r w:rsidR="004F002D">
        <w:t>-hours</w:t>
      </w:r>
      <w:r>
        <w:t>)</w:t>
      </w:r>
    </w:p>
    <w:p w14:paraId="0A20FF86" w14:textId="2EF7719A" w:rsidR="00400D8E" w:rsidRDefault="00400D8E">
      <w:r>
        <w:tab/>
      </w:r>
      <w:r>
        <w:tab/>
      </w:r>
      <w:r>
        <w:tab/>
      </w:r>
      <w:r>
        <w:tab/>
      </w:r>
      <w:r>
        <w:tab/>
      </w:r>
      <w:r>
        <w:tab/>
      </w:r>
    </w:p>
    <w:p w14:paraId="3E39FE1F" w14:textId="77777777" w:rsidR="00C017EA" w:rsidRDefault="00C017EA"/>
    <w:p w14:paraId="51D6CBCE" w14:textId="77777777" w:rsidR="00C017EA" w:rsidRDefault="00C017EA"/>
    <w:p w14:paraId="38558C95" w14:textId="77777777" w:rsidR="00C017EA" w:rsidRDefault="00C017EA"/>
    <w:p w14:paraId="70AE7F20" w14:textId="4BA3F928" w:rsidR="00D11CCA" w:rsidRPr="00901088" w:rsidRDefault="00901088">
      <w:pPr>
        <w:rPr>
          <w:b/>
          <w:sz w:val="28"/>
          <w:szCs w:val="28"/>
        </w:rPr>
      </w:pPr>
      <w:r>
        <w:tab/>
      </w:r>
      <w:r w:rsidR="008D735F" w:rsidRPr="008D735F">
        <w:rPr>
          <w:b/>
          <w:sz w:val="28"/>
          <w:szCs w:val="28"/>
        </w:rPr>
        <w:t>2.  Solar Power</w:t>
      </w:r>
    </w:p>
    <w:tbl>
      <w:tblPr>
        <w:tblW w:w="13650" w:type="dxa"/>
        <w:tblBorders>
          <w:top w:val="nil"/>
          <w:left w:val="nil"/>
          <w:right w:val="nil"/>
        </w:tblBorders>
        <w:tblLayout w:type="fixed"/>
        <w:tblLook w:val="0000" w:firstRow="0" w:lastRow="0" w:firstColumn="0" w:lastColumn="0" w:noHBand="0" w:noVBand="0"/>
      </w:tblPr>
      <w:tblGrid>
        <w:gridCol w:w="2898"/>
        <w:gridCol w:w="662"/>
        <w:gridCol w:w="1318"/>
        <w:gridCol w:w="502"/>
        <w:gridCol w:w="1020"/>
        <w:gridCol w:w="188"/>
        <w:gridCol w:w="1072"/>
        <w:gridCol w:w="8"/>
        <w:gridCol w:w="1350"/>
        <w:gridCol w:w="222"/>
        <w:gridCol w:w="1540"/>
        <w:gridCol w:w="90"/>
        <w:gridCol w:w="1150"/>
        <w:gridCol w:w="390"/>
        <w:gridCol w:w="1240"/>
      </w:tblGrid>
      <w:tr w:rsidR="00FD1D09" w:rsidRPr="00D45462" w14:paraId="6AB65B0D" w14:textId="77777777" w:rsidTr="00FD1D09">
        <w:trPr>
          <w:gridAfter w:val="13"/>
          <w:wAfter w:w="10090" w:type="dxa"/>
        </w:trPr>
        <w:tc>
          <w:tcPr>
            <w:tcW w:w="3560" w:type="dxa"/>
            <w:gridSpan w:val="2"/>
            <w:shd w:val="clear" w:color="auto" w:fill="F1F1F1"/>
            <w:tcMar>
              <w:top w:w="100" w:type="nil"/>
              <w:left w:w="100" w:type="nil"/>
              <w:bottom w:w="100" w:type="nil"/>
              <w:right w:w="100" w:type="nil"/>
            </w:tcMar>
            <w:vAlign w:val="center"/>
          </w:tcPr>
          <w:p w14:paraId="714FD37A" w14:textId="77777777" w:rsidR="00FD1D09" w:rsidRPr="00D45462" w:rsidRDefault="00FD1D09">
            <w:pPr>
              <w:widowControl w:val="0"/>
              <w:autoSpaceDE w:val="0"/>
              <w:autoSpaceDN w:val="0"/>
              <w:adjustRightInd w:val="0"/>
              <w:rPr>
                <w:rFonts w:ascii="Times" w:eastAsiaTheme="minorEastAsia" w:hAnsi="Times" w:cs="Helvetica"/>
                <w:b/>
                <w:bCs/>
              </w:rPr>
            </w:pPr>
            <w:r w:rsidRPr="00D45462">
              <w:rPr>
                <w:rFonts w:ascii="Times" w:eastAsiaTheme="minorEastAsia" w:hAnsi="Times" w:cs="Helvetica"/>
                <w:b/>
                <w:bCs/>
              </w:rPr>
              <w:t>Hours Peak Sun/day</w:t>
            </w:r>
          </w:p>
          <w:p w14:paraId="1E70DC0B" w14:textId="77777777" w:rsidR="00FD1D09" w:rsidRPr="00D45462" w:rsidRDefault="00FD1D09">
            <w:pPr>
              <w:widowControl w:val="0"/>
              <w:autoSpaceDE w:val="0"/>
              <w:autoSpaceDN w:val="0"/>
              <w:adjustRightInd w:val="0"/>
              <w:rPr>
                <w:rFonts w:ascii="Times" w:eastAsiaTheme="minorEastAsia" w:hAnsi="Times" w:cs="Helvetica"/>
                <w:b/>
                <w:bCs/>
              </w:rPr>
            </w:pPr>
            <w:r w:rsidRPr="00D45462">
              <w:rPr>
                <w:rFonts w:ascii="Times" w:eastAsiaTheme="minorEastAsia" w:hAnsi="Times" w:cs="Helvetica"/>
                <w:b/>
                <w:bCs/>
              </w:rPr>
              <w:t>Australia</w:t>
            </w:r>
          </w:p>
        </w:tc>
      </w:tr>
      <w:tr w:rsidR="00FD1D09" w14:paraId="2BB2FC1C" w14:textId="77777777" w:rsidTr="00FD1D09">
        <w:tblPrEx>
          <w:tblBorders>
            <w:top w:val="none" w:sz="0" w:space="0" w:color="auto"/>
          </w:tblBorders>
        </w:tblPrEx>
        <w:tc>
          <w:tcPr>
            <w:tcW w:w="2898" w:type="dxa"/>
            <w:shd w:val="clear" w:color="auto" w:fill="F1F1F1"/>
            <w:tcMar>
              <w:top w:w="100" w:type="nil"/>
              <w:left w:w="100" w:type="nil"/>
              <w:bottom w:w="100" w:type="nil"/>
              <w:right w:w="100" w:type="nil"/>
            </w:tcMar>
            <w:vAlign w:val="center"/>
          </w:tcPr>
          <w:p w14:paraId="70CFDF61" w14:textId="77777777" w:rsidR="00FD1D09" w:rsidRPr="00D45462" w:rsidRDefault="00FD1D09">
            <w:pPr>
              <w:widowControl w:val="0"/>
              <w:autoSpaceDE w:val="0"/>
              <w:autoSpaceDN w:val="0"/>
              <w:adjustRightInd w:val="0"/>
              <w:rPr>
                <w:rFonts w:ascii="Times" w:eastAsiaTheme="minorEastAsia" w:hAnsi="Times" w:cs="Helvetica"/>
                <w:b/>
                <w:bCs/>
              </w:rPr>
            </w:pPr>
            <w:r w:rsidRPr="00D45462">
              <w:rPr>
                <w:rFonts w:ascii="Times" w:eastAsiaTheme="minorEastAsia" w:hAnsi="Times" w:cs="Helvetica"/>
                <w:b/>
                <w:bCs/>
              </w:rPr>
              <w:t>Month</w:t>
            </w:r>
          </w:p>
        </w:tc>
        <w:tc>
          <w:tcPr>
            <w:tcW w:w="1980" w:type="dxa"/>
            <w:gridSpan w:val="2"/>
            <w:shd w:val="clear" w:color="auto" w:fill="F1F1F1"/>
            <w:tcMar>
              <w:top w:w="100" w:type="nil"/>
              <w:left w:w="100" w:type="nil"/>
              <w:bottom w:w="100" w:type="nil"/>
              <w:right w:w="100" w:type="nil"/>
            </w:tcMar>
            <w:vAlign w:val="center"/>
          </w:tcPr>
          <w:p w14:paraId="71B98E63" w14:textId="77777777" w:rsidR="00FD1D09" w:rsidRPr="00D45462" w:rsidRDefault="00FD1D09">
            <w:pPr>
              <w:widowControl w:val="0"/>
              <w:autoSpaceDE w:val="0"/>
              <w:autoSpaceDN w:val="0"/>
              <w:adjustRightInd w:val="0"/>
              <w:rPr>
                <w:rFonts w:ascii="Times" w:eastAsiaTheme="minorEastAsia" w:hAnsi="Times" w:cs="Helvetica"/>
                <w:b/>
                <w:bCs/>
              </w:rPr>
            </w:pPr>
            <w:r w:rsidRPr="00D45462">
              <w:rPr>
                <w:rFonts w:ascii="Times" w:eastAsiaTheme="minorEastAsia" w:hAnsi="Times" w:cs="Helvetica"/>
                <w:b/>
                <w:bCs/>
              </w:rPr>
              <w:t>Melbourne</w:t>
            </w:r>
          </w:p>
        </w:tc>
        <w:tc>
          <w:tcPr>
            <w:tcW w:w="1710" w:type="dxa"/>
            <w:gridSpan w:val="3"/>
            <w:shd w:val="clear" w:color="auto" w:fill="F1F1F1"/>
            <w:tcMar>
              <w:top w:w="100" w:type="nil"/>
              <w:left w:w="100" w:type="nil"/>
              <w:bottom w:w="100" w:type="nil"/>
              <w:right w:w="100" w:type="nil"/>
            </w:tcMar>
            <w:vAlign w:val="center"/>
          </w:tcPr>
          <w:p w14:paraId="7698596F" w14:textId="77777777" w:rsidR="00FD1D09" w:rsidRPr="00D45462" w:rsidRDefault="00FD1D09">
            <w:pPr>
              <w:widowControl w:val="0"/>
              <w:autoSpaceDE w:val="0"/>
              <w:autoSpaceDN w:val="0"/>
              <w:adjustRightInd w:val="0"/>
              <w:rPr>
                <w:rFonts w:ascii="Times" w:eastAsiaTheme="minorEastAsia" w:hAnsi="Times" w:cs="Helvetica"/>
                <w:b/>
                <w:bCs/>
              </w:rPr>
            </w:pPr>
            <w:r w:rsidRPr="00D45462">
              <w:rPr>
                <w:rFonts w:ascii="Times" w:eastAsiaTheme="minorEastAsia" w:hAnsi="Times" w:cs="Helvetica"/>
                <w:b/>
                <w:bCs/>
              </w:rPr>
              <w:t>Canberra</w:t>
            </w:r>
          </w:p>
        </w:tc>
        <w:tc>
          <w:tcPr>
            <w:tcW w:w="1080" w:type="dxa"/>
            <w:gridSpan w:val="2"/>
            <w:shd w:val="clear" w:color="auto" w:fill="F1F1F1"/>
            <w:tcMar>
              <w:top w:w="100" w:type="nil"/>
              <w:left w:w="100" w:type="nil"/>
              <w:bottom w:w="100" w:type="nil"/>
              <w:right w:w="100" w:type="nil"/>
            </w:tcMar>
            <w:vAlign w:val="center"/>
          </w:tcPr>
          <w:p w14:paraId="4DABDFB3" w14:textId="77777777" w:rsidR="00FD1D09" w:rsidRPr="00D45462" w:rsidRDefault="00FD1D09">
            <w:pPr>
              <w:widowControl w:val="0"/>
              <w:autoSpaceDE w:val="0"/>
              <w:autoSpaceDN w:val="0"/>
              <w:adjustRightInd w:val="0"/>
              <w:rPr>
                <w:rFonts w:ascii="Times" w:eastAsiaTheme="minorEastAsia" w:hAnsi="Times" w:cs="Helvetica"/>
                <w:b/>
                <w:bCs/>
              </w:rPr>
            </w:pPr>
            <w:r w:rsidRPr="00D45462">
              <w:rPr>
                <w:rFonts w:ascii="Times" w:eastAsiaTheme="minorEastAsia" w:hAnsi="Times" w:cs="Helvetica"/>
                <w:b/>
                <w:bCs/>
              </w:rPr>
              <w:t>Perth</w:t>
            </w:r>
          </w:p>
        </w:tc>
        <w:tc>
          <w:tcPr>
            <w:tcW w:w="1350" w:type="dxa"/>
            <w:shd w:val="clear" w:color="auto" w:fill="F1F1F1"/>
            <w:tcMar>
              <w:top w:w="100" w:type="nil"/>
              <w:left w:w="100" w:type="nil"/>
              <w:bottom w:w="100" w:type="nil"/>
              <w:right w:w="100" w:type="nil"/>
            </w:tcMar>
            <w:vAlign w:val="center"/>
          </w:tcPr>
          <w:p w14:paraId="55B1B0EA" w14:textId="77777777" w:rsidR="00FD1D09" w:rsidRPr="00D45462" w:rsidRDefault="00FD1D09">
            <w:pPr>
              <w:widowControl w:val="0"/>
              <w:autoSpaceDE w:val="0"/>
              <w:autoSpaceDN w:val="0"/>
              <w:adjustRightInd w:val="0"/>
              <w:rPr>
                <w:rFonts w:ascii="Times" w:eastAsiaTheme="minorEastAsia" w:hAnsi="Times" w:cs="Helvetica"/>
                <w:b/>
                <w:bCs/>
              </w:rPr>
            </w:pPr>
            <w:r w:rsidRPr="00D45462">
              <w:rPr>
                <w:rFonts w:ascii="Times" w:eastAsiaTheme="minorEastAsia" w:hAnsi="Times" w:cs="Helvetica"/>
                <w:b/>
                <w:bCs/>
              </w:rPr>
              <w:t>Darwin</w:t>
            </w:r>
          </w:p>
        </w:tc>
        <w:tc>
          <w:tcPr>
            <w:tcW w:w="1852" w:type="dxa"/>
            <w:gridSpan w:val="3"/>
            <w:shd w:val="clear" w:color="auto" w:fill="F1F1F1"/>
            <w:tcMar>
              <w:top w:w="100" w:type="nil"/>
              <w:left w:w="100" w:type="nil"/>
              <w:bottom w:w="100" w:type="nil"/>
              <w:right w:w="100" w:type="nil"/>
            </w:tcMar>
            <w:vAlign w:val="center"/>
          </w:tcPr>
          <w:p w14:paraId="1CDCE783" w14:textId="77777777" w:rsidR="00FD1D09" w:rsidRPr="00D45462" w:rsidRDefault="00FD1D09">
            <w:pPr>
              <w:widowControl w:val="0"/>
              <w:autoSpaceDE w:val="0"/>
              <w:autoSpaceDN w:val="0"/>
              <w:adjustRightInd w:val="0"/>
              <w:rPr>
                <w:rFonts w:ascii="Times" w:eastAsiaTheme="minorEastAsia" w:hAnsi="Times" w:cs="Helvetica"/>
                <w:b/>
                <w:bCs/>
              </w:rPr>
            </w:pPr>
            <w:r w:rsidRPr="00D45462">
              <w:rPr>
                <w:rFonts w:ascii="Times" w:eastAsiaTheme="minorEastAsia" w:hAnsi="Times" w:cs="Helvetica"/>
                <w:b/>
                <w:bCs/>
              </w:rPr>
              <w:t>Brisbane</w:t>
            </w:r>
          </w:p>
        </w:tc>
        <w:tc>
          <w:tcPr>
            <w:tcW w:w="1540" w:type="dxa"/>
            <w:gridSpan w:val="2"/>
            <w:shd w:val="clear" w:color="auto" w:fill="F1F1F1"/>
            <w:tcMar>
              <w:top w:w="100" w:type="nil"/>
              <w:left w:w="100" w:type="nil"/>
              <w:bottom w:w="100" w:type="nil"/>
              <w:right w:w="100" w:type="nil"/>
            </w:tcMar>
            <w:vAlign w:val="center"/>
          </w:tcPr>
          <w:p w14:paraId="61AA52A5" w14:textId="77777777" w:rsidR="00FD1D09" w:rsidRDefault="00FD1D09">
            <w:pPr>
              <w:widowControl w:val="0"/>
              <w:autoSpaceDE w:val="0"/>
              <w:autoSpaceDN w:val="0"/>
              <w:adjustRightInd w:val="0"/>
              <w:rPr>
                <w:rFonts w:ascii="Helvetica" w:eastAsiaTheme="minorEastAsia" w:hAnsi="Helvetica" w:cs="Helvetica"/>
                <w:b/>
                <w:bCs/>
                <w:sz w:val="32"/>
                <w:szCs w:val="32"/>
              </w:rPr>
            </w:pPr>
            <w:r>
              <w:rPr>
                <w:rFonts w:ascii="Helvetica" w:eastAsiaTheme="minorEastAsia" w:hAnsi="Helvetica" w:cs="Helvetica"/>
                <w:b/>
                <w:bCs/>
                <w:sz w:val="32"/>
                <w:szCs w:val="32"/>
              </w:rPr>
              <w:t>Adelaide</w:t>
            </w:r>
          </w:p>
        </w:tc>
        <w:tc>
          <w:tcPr>
            <w:tcW w:w="1240" w:type="dxa"/>
            <w:shd w:val="clear" w:color="auto" w:fill="F1F1F1"/>
            <w:tcMar>
              <w:top w:w="100" w:type="nil"/>
              <w:left w:w="100" w:type="nil"/>
              <w:bottom w:w="100" w:type="nil"/>
              <w:right w:w="100" w:type="nil"/>
            </w:tcMar>
            <w:vAlign w:val="center"/>
          </w:tcPr>
          <w:p w14:paraId="5E317DC6" w14:textId="77777777" w:rsidR="00FD1D09" w:rsidRDefault="00FD1D09">
            <w:pPr>
              <w:widowControl w:val="0"/>
              <w:autoSpaceDE w:val="0"/>
              <w:autoSpaceDN w:val="0"/>
              <w:adjustRightInd w:val="0"/>
              <w:rPr>
                <w:rFonts w:ascii="Helvetica" w:eastAsiaTheme="minorEastAsia" w:hAnsi="Helvetica" w:cs="Helvetica"/>
                <w:b/>
                <w:bCs/>
                <w:sz w:val="32"/>
                <w:szCs w:val="32"/>
              </w:rPr>
            </w:pPr>
            <w:r>
              <w:rPr>
                <w:rFonts w:ascii="Helvetica" w:eastAsiaTheme="minorEastAsia" w:hAnsi="Helvetica" w:cs="Helvetica"/>
                <w:b/>
                <w:bCs/>
                <w:sz w:val="32"/>
                <w:szCs w:val="32"/>
              </w:rPr>
              <w:t>Hobart</w:t>
            </w:r>
          </w:p>
        </w:tc>
      </w:tr>
      <w:tr w:rsidR="00FD1D09" w14:paraId="311DEE7C"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0C7E7639"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January</w:t>
            </w:r>
          </w:p>
        </w:tc>
        <w:tc>
          <w:tcPr>
            <w:tcW w:w="1820" w:type="dxa"/>
            <w:gridSpan w:val="2"/>
            <w:tcMar>
              <w:top w:w="100" w:type="nil"/>
              <w:left w:w="100" w:type="nil"/>
              <w:bottom w:w="100" w:type="nil"/>
              <w:right w:w="100" w:type="nil"/>
            </w:tcMar>
            <w:vAlign w:val="center"/>
          </w:tcPr>
          <w:p w14:paraId="6A8A1716"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6.9</w:t>
            </w:r>
          </w:p>
        </w:tc>
        <w:tc>
          <w:tcPr>
            <w:tcW w:w="1020" w:type="dxa"/>
            <w:tcMar>
              <w:top w:w="100" w:type="nil"/>
              <w:left w:w="100" w:type="nil"/>
              <w:bottom w:w="100" w:type="nil"/>
              <w:right w:w="100" w:type="nil"/>
            </w:tcMar>
            <w:vAlign w:val="center"/>
          </w:tcPr>
          <w:p w14:paraId="4EA4918A"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8.2</w:t>
            </w:r>
          </w:p>
        </w:tc>
        <w:tc>
          <w:tcPr>
            <w:tcW w:w="1260" w:type="dxa"/>
            <w:gridSpan w:val="2"/>
            <w:tcMar>
              <w:top w:w="100" w:type="nil"/>
              <w:left w:w="100" w:type="nil"/>
              <w:bottom w:w="100" w:type="nil"/>
              <w:right w:w="100" w:type="nil"/>
            </w:tcMar>
            <w:vAlign w:val="center"/>
          </w:tcPr>
          <w:p w14:paraId="1A704037"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5.4</w:t>
            </w:r>
          </w:p>
        </w:tc>
        <w:tc>
          <w:tcPr>
            <w:tcW w:w="1580" w:type="dxa"/>
            <w:gridSpan w:val="3"/>
            <w:tcMar>
              <w:top w:w="100" w:type="nil"/>
              <w:left w:w="100" w:type="nil"/>
              <w:bottom w:w="100" w:type="nil"/>
              <w:right w:w="100" w:type="nil"/>
            </w:tcMar>
            <w:vAlign w:val="center"/>
          </w:tcPr>
          <w:p w14:paraId="5F5C32BA"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6.5</w:t>
            </w:r>
          </w:p>
        </w:tc>
        <w:tc>
          <w:tcPr>
            <w:tcW w:w="1540" w:type="dxa"/>
            <w:tcMar>
              <w:top w:w="100" w:type="nil"/>
              <w:left w:w="100" w:type="nil"/>
              <w:bottom w:w="100" w:type="nil"/>
              <w:right w:w="100" w:type="nil"/>
            </w:tcMar>
            <w:vAlign w:val="center"/>
          </w:tcPr>
          <w:p w14:paraId="6F1304FA"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7.8</w:t>
            </w:r>
          </w:p>
        </w:tc>
        <w:tc>
          <w:tcPr>
            <w:tcW w:w="1240" w:type="dxa"/>
            <w:gridSpan w:val="2"/>
            <w:tcMar>
              <w:top w:w="100" w:type="nil"/>
              <w:left w:w="100" w:type="nil"/>
              <w:bottom w:w="100" w:type="nil"/>
              <w:right w:w="100" w:type="nil"/>
            </w:tcMar>
            <w:vAlign w:val="center"/>
          </w:tcPr>
          <w:p w14:paraId="47B2CAE1"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6.3</w:t>
            </w:r>
          </w:p>
        </w:tc>
      </w:tr>
      <w:tr w:rsidR="00FD1D09" w14:paraId="392CCA40"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6452CF3B"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February</w:t>
            </w:r>
          </w:p>
        </w:tc>
        <w:tc>
          <w:tcPr>
            <w:tcW w:w="1820" w:type="dxa"/>
            <w:gridSpan w:val="2"/>
            <w:tcMar>
              <w:top w:w="100" w:type="nil"/>
              <w:left w:w="100" w:type="nil"/>
              <w:bottom w:w="100" w:type="nil"/>
              <w:right w:w="100" w:type="nil"/>
            </w:tcMar>
            <w:vAlign w:val="center"/>
          </w:tcPr>
          <w:p w14:paraId="57E4EF83"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6.4</w:t>
            </w:r>
          </w:p>
        </w:tc>
        <w:tc>
          <w:tcPr>
            <w:tcW w:w="1020" w:type="dxa"/>
            <w:tcMar>
              <w:top w:w="100" w:type="nil"/>
              <w:left w:w="100" w:type="nil"/>
              <w:bottom w:w="100" w:type="nil"/>
              <w:right w:w="100" w:type="nil"/>
            </w:tcMar>
            <w:vAlign w:val="center"/>
          </w:tcPr>
          <w:p w14:paraId="04C54FB5"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7.2</w:t>
            </w:r>
          </w:p>
        </w:tc>
        <w:tc>
          <w:tcPr>
            <w:tcW w:w="1260" w:type="dxa"/>
            <w:gridSpan w:val="2"/>
            <w:tcMar>
              <w:top w:w="100" w:type="nil"/>
              <w:left w:w="100" w:type="nil"/>
              <w:bottom w:w="100" w:type="nil"/>
              <w:right w:w="100" w:type="nil"/>
            </w:tcMar>
            <w:vAlign w:val="center"/>
          </w:tcPr>
          <w:p w14:paraId="208F8170"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5.2</w:t>
            </w:r>
          </w:p>
        </w:tc>
        <w:tc>
          <w:tcPr>
            <w:tcW w:w="1580" w:type="dxa"/>
            <w:gridSpan w:val="3"/>
            <w:tcMar>
              <w:top w:w="100" w:type="nil"/>
              <w:left w:w="100" w:type="nil"/>
              <w:bottom w:w="100" w:type="nil"/>
              <w:right w:w="100" w:type="nil"/>
            </w:tcMar>
            <w:vAlign w:val="center"/>
          </w:tcPr>
          <w:p w14:paraId="3C655F62"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6.2</w:t>
            </w:r>
          </w:p>
        </w:tc>
        <w:tc>
          <w:tcPr>
            <w:tcW w:w="1540" w:type="dxa"/>
            <w:tcMar>
              <w:top w:w="100" w:type="nil"/>
              <w:left w:w="100" w:type="nil"/>
              <w:bottom w:w="100" w:type="nil"/>
              <w:right w:w="100" w:type="nil"/>
            </w:tcMar>
            <w:vAlign w:val="center"/>
          </w:tcPr>
          <w:p w14:paraId="18090733"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7.3</w:t>
            </w:r>
          </w:p>
        </w:tc>
        <w:tc>
          <w:tcPr>
            <w:tcW w:w="1240" w:type="dxa"/>
            <w:gridSpan w:val="2"/>
            <w:tcMar>
              <w:top w:w="100" w:type="nil"/>
              <w:left w:w="100" w:type="nil"/>
              <w:bottom w:w="100" w:type="nil"/>
              <w:right w:w="100" w:type="nil"/>
            </w:tcMar>
            <w:vAlign w:val="center"/>
          </w:tcPr>
          <w:p w14:paraId="2D65E5C7"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5.6</w:t>
            </w:r>
          </w:p>
        </w:tc>
      </w:tr>
      <w:tr w:rsidR="00FD1D09" w14:paraId="413651C1"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0657D39E"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March</w:t>
            </w:r>
          </w:p>
        </w:tc>
        <w:tc>
          <w:tcPr>
            <w:tcW w:w="1820" w:type="dxa"/>
            <w:gridSpan w:val="2"/>
            <w:tcMar>
              <w:top w:w="100" w:type="nil"/>
              <w:left w:w="100" w:type="nil"/>
              <w:bottom w:w="100" w:type="nil"/>
              <w:right w:w="100" w:type="nil"/>
            </w:tcMar>
            <w:vAlign w:val="center"/>
          </w:tcPr>
          <w:p w14:paraId="725E0A1F"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5.2</w:t>
            </w:r>
          </w:p>
        </w:tc>
        <w:tc>
          <w:tcPr>
            <w:tcW w:w="1020" w:type="dxa"/>
            <w:tcMar>
              <w:top w:w="100" w:type="nil"/>
              <w:left w:w="100" w:type="nil"/>
              <w:bottom w:w="100" w:type="nil"/>
              <w:right w:w="100" w:type="nil"/>
            </w:tcMar>
            <w:vAlign w:val="center"/>
          </w:tcPr>
          <w:p w14:paraId="1CB72A2B"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6.0</w:t>
            </w:r>
          </w:p>
        </w:tc>
        <w:tc>
          <w:tcPr>
            <w:tcW w:w="1260" w:type="dxa"/>
            <w:gridSpan w:val="2"/>
            <w:tcMar>
              <w:top w:w="100" w:type="nil"/>
              <w:left w:w="100" w:type="nil"/>
              <w:bottom w:w="100" w:type="nil"/>
              <w:right w:w="100" w:type="nil"/>
            </w:tcMar>
            <w:vAlign w:val="center"/>
          </w:tcPr>
          <w:p w14:paraId="39D98478"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5.6</w:t>
            </w:r>
          </w:p>
        </w:tc>
        <w:tc>
          <w:tcPr>
            <w:tcW w:w="1580" w:type="dxa"/>
            <w:gridSpan w:val="3"/>
            <w:tcMar>
              <w:top w:w="100" w:type="nil"/>
              <w:left w:w="100" w:type="nil"/>
              <w:bottom w:w="100" w:type="nil"/>
              <w:right w:w="100" w:type="nil"/>
            </w:tcMar>
            <w:vAlign w:val="center"/>
          </w:tcPr>
          <w:p w14:paraId="68BBC90E"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5.7</w:t>
            </w:r>
          </w:p>
        </w:tc>
        <w:tc>
          <w:tcPr>
            <w:tcW w:w="1540" w:type="dxa"/>
            <w:tcMar>
              <w:top w:w="100" w:type="nil"/>
              <w:left w:w="100" w:type="nil"/>
              <w:bottom w:w="100" w:type="nil"/>
              <w:right w:w="100" w:type="nil"/>
            </w:tcMar>
            <w:vAlign w:val="center"/>
          </w:tcPr>
          <w:p w14:paraId="071D19A6"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6.3</w:t>
            </w:r>
          </w:p>
        </w:tc>
        <w:tc>
          <w:tcPr>
            <w:tcW w:w="1240" w:type="dxa"/>
            <w:gridSpan w:val="2"/>
            <w:tcMar>
              <w:top w:w="100" w:type="nil"/>
              <w:left w:w="100" w:type="nil"/>
              <w:bottom w:w="100" w:type="nil"/>
              <w:right w:w="100" w:type="nil"/>
            </w:tcMar>
            <w:vAlign w:val="center"/>
          </w:tcPr>
          <w:p w14:paraId="026D9694"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4.1</w:t>
            </w:r>
          </w:p>
        </w:tc>
      </w:tr>
      <w:tr w:rsidR="00FD1D09" w14:paraId="68B7D63A"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5BEB367A"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April</w:t>
            </w:r>
          </w:p>
        </w:tc>
        <w:tc>
          <w:tcPr>
            <w:tcW w:w="1820" w:type="dxa"/>
            <w:gridSpan w:val="2"/>
            <w:tcMar>
              <w:top w:w="100" w:type="nil"/>
              <w:left w:w="100" w:type="nil"/>
              <w:bottom w:w="100" w:type="nil"/>
              <w:right w:w="100" w:type="nil"/>
            </w:tcMar>
            <w:vAlign w:val="center"/>
          </w:tcPr>
          <w:p w14:paraId="6995BD3C"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3.8</w:t>
            </w:r>
          </w:p>
        </w:tc>
        <w:tc>
          <w:tcPr>
            <w:tcW w:w="1020" w:type="dxa"/>
            <w:tcMar>
              <w:top w:w="100" w:type="nil"/>
              <w:left w:w="100" w:type="nil"/>
              <w:bottom w:w="100" w:type="nil"/>
              <w:right w:w="100" w:type="nil"/>
            </w:tcMar>
            <w:vAlign w:val="center"/>
          </w:tcPr>
          <w:p w14:paraId="30899B9D"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4.3</w:t>
            </w:r>
          </w:p>
        </w:tc>
        <w:tc>
          <w:tcPr>
            <w:tcW w:w="1260" w:type="dxa"/>
            <w:gridSpan w:val="2"/>
            <w:tcMar>
              <w:top w:w="100" w:type="nil"/>
              <w:left w:w="100" w:type="nil"/>
              <w:bottom w:w="100" w:type="nil"/>
              <w:right w:w="100" w:type="nil"/>
            </w:tcMar>
            <w:vAlign w:val="center"/>
          </w:tcPr>
          <w:p w14:paraId="2A239055"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5.9</w:t>
            </w:r>
          </w:p>
        </w:tc>
        <w:tc>
          <w:tcPr>
            <w:tcW w:w="1580" w:type="dxa"/>
            <w:gridSpan w:val="3"/>
            <w:tcMar>
              <w:top w:w="100" w:type="nil"/>
              <w:left w:w="100" w:type="nil"/>
              <w:bottom w:w="100" w:type="nil"/>
              <w:right w:w="100" w:type="nil"/>
            </w:tcMar>
            <w:vAlign w:val="center"/>
          </w:tcPr>
          <w:p w14:paraId="3164CC7F"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4.8</w:t>
            </w:r>
          </w:p>
        </w:tc>
        <w:tc>
          <w:tcPr>
            <w:tcW w:w="1540" w:type="dxa"/>
            <w:tcMar>
              <w:top w:w="100" w:type="nil"/>
              <w:left w:w="100" w:type="nil"/>
              <w:bottom w:w="100" w:type="nil"/>
              <w:right w:w="100" w:type="nil"/>
            </w:tcMar>
            <w:vAlign w:val="center"/>
          </w:tcPr>
          <w:p w14:paraId="0305DFC9"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5.0</w:t>
            </w:r>
          </w:p>
        </w:tc>
        <w:tc>
          <w:tcPr>
            <w:tcW w:w="1240" w:type="dxa"/>
            <w:gridSpan w:val="2"/>
            <w:tcMar>
              <w:top w:w="100" w:type="nil"/>
              <w:left w:w="100" w:type="nil"/>
              <w:bottom w:w="100" w:type="nil"/>
              <w:right w:w="100" w:type="nil"/>
            </w:tcMar>
            <w:vAlign w:val="center"/>
          </w:tcPr>
          <w:p w14:paraId="1366C59D"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2.8</w:t>
            </w:r>
          </w:p>
        </w:tc>
      </w:tr>
      <w:tr w:rsidR="00FD1D09" w14:paraId="6992E9AE"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6FA256C5"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May</w:t>
            </w:r>
          </w:p>
        </w:tc>
        <w:tc>
          <w:tcPr>
            <w:tcW w:w="1820" w:type="dxa"/>
            <w:gridSpan w:val="2"/>
            <w:tcMar>
              <w:top w:w="100" w:type="nil"/>
              <w:left w:w="100" w:type="nil"/>
              <w:bottom w:w="100" w:type="nil"/>
              <w:right w:w="100" w:type="nil"/>
            </w:tcMar>
            <w:vAlign w:val="center"/>
          </w:tcPr>
          <w:p w14:paraId="41E7AC64"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2.8</w:t>
            </w:r>
          </w:p>
        </w:tc>
        <w:tc>
          <w:tcPr>
            <w:tcW w:w="1020" w:type="dxa"/>
            <w:tcMar>
              <w:top w:w="100" w:type="nil"/>
              <w:left w:w="100" w:type="nil"/>
              <w:bottom w:w="100" w:type="nil"/>
              <w:right w:w="100" w:type="nil"/>
            </w:tcMar>
            <w:vAlign w:val="center"/>
          </w:tcPr>
          <w:p w14:paraId="6FCD56A9"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3.1</w:t>
            </w:r>
          </w:p>
        </w:tc>
        <w:tc>
          <w:tcPr>
            <w:tcW w:w="1260" w:type="dxa"/>
            <w:gridSpan w:val="2"/>
            <w:tcMar>
              <w:top w:w="100" w:type="nil"/>
              <w:left w:w="100" w:type="nil"/>
              <w:bottom w:w="100" w:type="nil"/>
              <w:right w:w="100" w:type="nil"/>
            </w:tcMar>
            <w:vAlign w:val="center"/>
          </w:tcPr>
          <w:p w14:paraId="33828589"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5.6</w:t>
            </w:r>
          </w:p>
        </w:tc>
        <w:tc>
          <w:tcPr>
            <w:tcW w:w="1580" w:type="dxa"/>
            <w:gridSpan w:val="3"/>
            <w:tcMar>
              <w:top w:w="100" w:type="nil"/>
              <w:left w:w="100" w:type="nil"/>
              <w:bottom w:w="100" w:type="nil"/>
              <w:right w:w="100" w:type="nil"/>
            </w:tcMar>
            <w:vAlign w:val="center"/>
          </w:tcPr>
          <w:p w14:paraId="3149A13A"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4.2</w:t>
            </w:r>
          </w:p>
        </w:tc>
        <w:tc>
          <w:tcPr>
            <w:tcW w:w="1540" w:type="dxa"/>
            <w:tcMar>
              <w:top w:w="100" w:type="nil"/>
              <w:left w:w="100" w:type="nil"/>
              <w:bottom w:w="100" w:type="nil"/>
              <w:right w:w="100" w:type="nil"/>
            </w:tcMar>
            <w:vAlign w:val="center"/>
          </w:tcPr>
          <w:p w14:paraId="70BAFA58"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3.8</w:t>
            </w:r>
          </w:p>
        </w:tc>
        <w:tc>
          <w:tcPr>
            <w:tcW w:w="1240" w:type="dxa"/>
            <w:gridSpan w:val="2"/>
            <w:tcMar>
              <w:top w:w="100" w:type="nil"/>
              <w:left w:w="100" w:type="nil"/>
              <w:bottom w:w="100" w:type="nil"/>
              <w:right w:w="100" w:type="nil"/>
            </w:tcMar>
            <w:vAlign w:val="center"/>
          </w:tcPr>
          <w:p w14:paraId="5022FEB9"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1.8</w:t>
            </w:r>
          </w:p>
        </w:tc>
      </w:tr>
      <w:tr w:rsidR="00FD1D09" w14:paraId="431714EC"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441B9652"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June</w:t>
            </w:r>
          </w:p>
        </w:tc>
        <w:tc>
          <w:tcPr>
            <w:tcW w:w="1820" w:type="dxa"/>
            <w:gridSpan w:val="2"/>
            <w:tcMar>
              <w:top w:w="100" w:type="nil"/>
              <w:left w:w="100" w:type="nil"/>
              <w:bottom w:w="100" w:type="nil"/>
              <w:right w:w="100" w:type="nil"/>
            </w:tcMar>
            <w:vAlign w:val="center"/>
          </w:tcPr>
          <w:p w14:paraId="7162A705"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2.4</w:t>
            </w:r>
          </w:p>
        </w:tc>
        <w:tc>
          <w:tcPr>
            <w:tcW w:w="1020" w:type="dxa"/>
            <w:tcMar>
              <w:top w:w="100" w:type="nil"/>
              <w:left w:w="100" w:type="nil"/>
              <w:bottom w:w="100" w:type="nil"/>
              <w:right w:w="100" w:type="nil"/>
            </w:tcMar>
            <w:vAlign w:val="center"/>
          </w:tcPr>
          <w:p w14:paraId="70AE65D9"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2.5</w:t>
            </w:r>
          </w:p>
        </w:tc>
        <w:tc>
          <w:tcPr>
            <w:tcW w:w="1260" w:type="dxa"/>
            <w:gridSpan w:val="2"/>
            <w:tcMar>
              <w:top w:w="100" w:type="nil"/>
              <w:left w:w="100" w:type="nil"/>
              <w:bottom w:w="100" w:type="nil"/>
              <w:right w:w="100" w:type="nil"/>
            </w:tcMar>
            <w:vAlign w:val="center"/>
          </w:tcPr>
          <w:p w14:paraId="6D86198F"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5.3</w:t>
            </w:r>
          </w:p>
        </w:tc>
        <w:tc>
          <w:tcPr>
            <w:tcW w:w="1580" w:type="dxa"/>
            <w:gridSpan w:val="3"/>
            <w:tcMar>
              <w:top w:w="100" w:type="nil"/>
              <w:left w:w="100" w:type="nil"/>
              <w:bottom w:w="100" w:type="nil"/>
              <w:right w:w="100" w:type="nil"/>
            </w:tcMar>
            <w:vAlign w:val="center"/>
          </w:tcPr>
          <w:p w14:paraId="4C8F7A29"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4.1</w:t>
            </w:r>
          </w:p>
        </w:tc>
        <w:tc>
          <w:tcPr>
            <w:tcW w:w="1540" w:type="dxa"/>
            <w:tcMar>
              <w:top w:w="100" w:type="nil"/>
              <w:left w:w="100" w:type="nil"/>
              <w:bottom w:w="100" w:type="nil"/>
              <w:right w:w="100" w:type="nil"/>
            </w:tcMar>
            <w:vAlign w:val="center"/>
          </w:tcPr>
          <w:p w14:paraId="374E506F"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3.5</w:t>
            </w:r>
          </w:p>
        </w:tc>
        <w:tc>
          <w:tcPr>
            <w:tcW w:w="1240" w:type="dxa"/>
            <w:gridSpan w:val="2"/>
            <w:tcMar>
              <w:top w:w="100" w:type="nil"/>
              <w:left w:w="100" w:type="nil"/>
              <w:bottom w:w="100" w:type="nil"/>
              <w:right w:w="100" w:type="nil"/>
            </w:tcMar>
            <w:vAlign w:val="center"/>
          </w:tcPr>
          <w:p w14:paraId="52708E7C"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1.4</w:t>
            </w:r>
          </w:p>
        </w:tc>
      </w:tr>
      <w:tr w:rsidR="00FD1D09" w14:paraId="193777ED"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678A6E75"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July</w:t>
            </w:r>
          </w:p>
        </w:tc>
        <w:tc>
          <w:tcPr>
            <w:tcW w:w="1820" w:type="dxa"/>
            <w:gridSpan w:val="2"/>
            <w:tcMar>
              <w:top w:w="100" w:type="nil"/>
              <w:left w:w="100" w:type="nil"/>
              <w:bottom w:w="100" w:type="nil"/>
              <w:right w:w="100" w:type="nil"/>
            </w:tcMar>
            <w:vAlign w:val="center"/>
          </w:tcPr>
          <w:p w14:paraId="44BC7EB5"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2.7</w:t>
            </w:r>
          </w:p>
        </w:tc>
        <w:tc>
          <w:tcPr>
            <w:tcW w:w="1020" w:type="dxa"/>
            <w:tcMar>
              <w:top w:w="100" w:type="nil"/>
              <w:left w:w="100" w:type="nil"/>
              <w:bottom w:w="100" w:type="nil"/>
              <w:right w:w="100" w:type="nil"/>
            </w:tcMar>
            <w:vAlign w:val="center"/>
          </w:tcPr>
          <w:p w14:paraId="0E55B76E"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2.7</w:t>
            </w:r>
          </w:p>
        </w:tc>
        <w:tc>
          <w:tcPr>
            <w:tcW w:w="1260" w:type="dxa"/>
            <w:gridSpan w:val="2"/>
            <w:tcMar>
              <w:top w:w="100" w:type="nil"/>
              <w:left w:w="100" w:type="nil"/>
              <w:bottom w:w="100" w:type="nil"/>
              <w:right w:w="100" w:type="nil"/>
            </w:tcMar>
            <w:vAlign w:val="center"/>
          </w:tcPr>
          <w:p w14:paraId="096AA9FE"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5.5</w:t>
            </w:r>
          </w:p>
        </w:tc>
        <w:tc>
          <w:tcPr>
            <w:tcW w:w="1580" w:type="dxa"/>
            <w:gridSpan w:val="3"/>
            <w:tcMar>
              <w:top w:w="100" w:type="nil"/>
              <w:left w:w="100" w:type="nil"/>
              <w:bottom w:w="100" w:type="nil"/>
              <w:right w:w="100" w:type="nil"/>
            </w:tcMar>
            <w:vAlign w:val="center"/>
          </w:tcPr>
          <w:p w14:paraId="5C081D22"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4.2</w:t>
            </w:r>
          </w:p>
        </w:tc>
        <w:tc>
          <w:tcPr>
            <w:tcW w:w="1540" w:type="dxa"/>
            <w:tcMar>
              <w:top w:w="100" w:type="nil"/>
              <w:left w:w="100" w:type="nil"/>
              <w:bottom w:w="100" w:type="nil"/>
              <w:right w:w="100" w:type="nil"/>
            </w:tcMar>
            <w:vAlign w:val="center"/>
          </w:tcPr>
          <w:p w14:paraId="3E529378"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3.4</w:t>
            </w:r>
          </w:p>
        </w:tc>
        <w:tc>
          <w:tcPr>
            <w:tcW w:w="1240" w:type="dxa"/>
            <w:gridSpan w:val="2"/>
            <w:tcMar>
              <w:top w:w="100" w:type="nil"/>
              <w:left w:w="100" w:type="nil"/>
              <w:bottom w:w="100" w:type="nil"/>
              <w:right w:w="100" w:type="nil"/>
            </w:tcMar>
            <w:vAlign w:val="center"/>
          </w:tcPr>
          <w:p w14:paraId="00F02E93"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1.7</w:t>
            </w:r>
          </w:p>
        </w:tc>
      </w:tr>
      <w:tr w:rsidR="00FD1D09" w14:paraId="55FA76D5"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00006D42"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August</w:t>
            </w:r>
          </w:p>
        </w:tc>
        <w:tc>
          <w:tcPr>
            <w:tcW w:w="1820" w:type="dxa"/>
            <w:gridSpan w:val="2"/>
            <w:tcMar>
              <w:top w:w="100" w:type="nil"/>
              <w:left w:w="100" w:type="nil"/>
              <w:bottom w:w="100" w:type="nil"/>
              <w:right w:w="100" w:type="nil"/>
            </w:tcMar>
            <w:vAlign w:val="center"/>
          </w:tcPr>
          <w:p w14:paraId="2B6C37C2"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3.3</w:t>
            </w:r>
          </w:p>
        </w:tc>
        <w:tc>
          <w:tcPr>
            <w:tcW w:w="1020" w:type="dxa"/>
            <w:tcMar>
              <w:top w:w="100" w:type="nil"/>
              <w:left w:w="100" w:type="nil"/>
              <w:bottom w:w="100" w:type="nil"/>
              <w:right w:w="100" w:type="nil"/>
            </w:tcMar>
            <w:vAlign w:val="center"/>
          </w:tcPr>
          <w:p w14:paraId="71A3E734"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3.5</w:t>
            </w:r>
          </w:p>
        </w:tc>
        <w:tc>
          <w:tcPr>
            <w:tcW w:w="1260" w:type="dxa"/>
            <w:gridSpan w:val="2"/>
            <w:tcMar>
              <w:top w:w="100" w:type="nil"/>
              <w:left w:w="100" w:type="nil"/>
              <w:bottom w:w="100" w:type="nil"/>
              <w:right w:w="100" w:type="nil"/>
            </w:tcMar>
            <w:vAlign w:val="center"/>
          </w:tcPr>
          <w:p w14:paraId="37E99E14"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6.0</w:t>
            </w:r>
          </w:p>
        </w:tc>
        <w:tc>
          <w:tcPr>
            <w:tcW w:w="1580" w:type="dxa"/>
            <w:gridSpan w:val="3"/>
            <w:tcMar>
              <w:top w:w="100" w:type="nil"/>
              <w:left w:w="100" w:type="nil"/>
              <w:bottom w:w="100" w:type="nil"/>
              <w:right w:w="100" w:type="nil"/>
            </w:tcMar>
            <w:vAlign w:val="center"/>
          </w:tcPr>
          <w:p w14:paraId="186241F4"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5.2</w:t>
            </w:r>
          </w:p>
        </w:tc>
        <w:tc>
          <w:tcPr>
            <w:tcW w:w="1540" w:type="dxa"/>
            <w:tcMar>
              <w:top w:w="100" w:type="nil"/>
              <w:left w:w="100" w:type="nil"/>
              <w:bottom w:w="100" w:type="nil"/>
              <w:right w:w="100" w:type="nil"/>
            </w:tcMar>
            <w:vAlign w:val="center"/>
          </w:tcPr>
          <w:p w14:paraId="0C88FB92"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4.4</w:t>
            </w:r>
          </w:p>
        </w:tc>
        <w:tc>
          <w:tcPr>
            <w:tcW w:w="1240" w:type="dxa"/>
            <w:gridSpan w:val="2"/>
            <w:tcMar>
              <w:top w:w="100" w:type="nil"/>
              <w:left w:w="100" w:type="nil"/>
              <w:bottom w:w="100" w:type="nil"/>
              <w:right w:w="100" w:type="nil"/>
            </w:tcMar>
            <w:vAlign w:val="center"/>
          </w:tcPr>
          <w:p w14:paraId="7E27BFEA"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2.4</w:t>
            </w:r>
          </w:p>
        </w:tc>
      </w:tr>
      <w:tr w:rsidR="00FD1D09" w14:paraId="2E342F28"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04ADA8EB"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September</w:t>
            </w:r>
          </w:p>
        </w:tc>
        <w:tc>
          <w:tcPr>
            <w:tcW w:w="1820" w:type="dxa"/>
            <w:gridSpan w:val="2"/>
            <w:tcMar>
              <w:top w:w="100" w:type="nil"/>
              <w:left w:w="100" w:type="nil"/>
              <w:bottom w:w="100" w:type="nil"/>
              <w:right w:w="100" w:type="nil"/>
            </w:tcMar>
            <w:vAlign w:val="center"/>
          </w:tcPr>
          <w:p w14:paraId="1535E331"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4.3</w:t>
            </w:r>
          </w:p>
        </w:tc>
        <w:tc>
          <w:tcPr>
            <w:tcW w:w="1020" w:type="dxa"/>
            <w:tcMar>
              <w:top w:w="100" w:type="nil"/>
              <w:left w:w="100" w:type="nil"/>
              <w:bottom w:w="100" w:type="nil"/>
              <w:right w:w="100" w:type="nil"/>
            </w:tcMar>
            <w:vAlign w:val="center"/>
          </w:tcPr>
          <w:p w14:paraId="4F597B88"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4.7</w:t>
            </w:r>
          </w:p>
        </w:tc>
        <w:tc>
          <w:tcPr>
            <w:tcW w:w="1260" w:type="dxa"/>
            <w:gridSpan w:val="2"/>
            <w:tcMar>
              <w:top w:w="100" w:type="nil"/>
              <w:left w:w="100" w:type="nil"/>
              <w:bottom w:w="100" w:type="nil"/>
              <w:right w:w="100" w:type="nil"/>
            </w:tcMar>
            <w:vAlign w:val="center"/>
          </w:tcPr>
          <w:p w14:paraId="36E4FB1B"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6.3</w:t>
            </w:r>
          </w:p>
        </w:tc>
        <w:tc>
          <w:tcPr>
            <w:tcW w:w="1580" w:type="dxa"/>
            <w:gridSpan w:val="3"/>
            <w:tcMar>
              <w:top w:w="100" w:type="nil"/>
              <w:left w:w="100" w:type="nil"/>
              <w:bottom w:w="100" w:type="nil"/>
              <w:right w:w="100" w:type="nil"/>
            </w:tcMar>
            <w:vAlign w:val="center"/>
          </w:tcPr>
          <w:p w14:paraId="09820777"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6.0</w:t>
            </w:r>
          </w:p>
        </w:tc>
        <w:tc>
          <w:tcPr>
            <w:tcW w:w="1540" w:type="dxa"/>
            <w:tcMar>
              <w:top w:w="100" w:type="nil"/>
              <w:left w:w="100" w:type="nil"/>
              <w:bottom w:w="100" w:type="nil"/>
              <w:right w:w="100" w:type="nil"/>
            </w:tcMar>
            <w:vAlign w:val="center"/>
          </w:tcPr>
          <w:p w14:paraId="5C650CBD"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5.3</w:t>
            </w:r>
          </w:p>
        </w:tc>
        <w:tc>
          <w:tcPr>
            <w:tcW w:w="1240" w:type="dxa"/>
            <w:gridSpan w:val="2"/>
            <w:tcMar>
              <w:top w:w="100" w:type="nil"/>
              <w:left w:w="100" w:type="nil"/>
              <w:bottom w:w="100" w:type="nil"/>
              <w:right w:w="100" w:type="nil"/>
            </w:tcMar>
            <w:vAlign w:val="center"/>
          </w:tcPr>
          <w:p w14:paraId="2BA68474"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3.5</w:t>
            </w:r>
          </w:p>
        </w:tc>
      </w:tr>
      <w:tr w:rsidR="00FD1D09" w14:paraId="0C9DD982"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2301E348"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October</w:t>
            </w:r>
          </w:p>
        </w:tc>
        <w:tc>
          <w:tcPr>
            <w:tcW w:w="1820" w:type="dxa"/>
            <w:gridSpan w:val="2"/>
            <w:tcMar>
              <w:top w:w="100" w:type="nil"/>
              <w:left w:w="100" w:type="nil"/>
              <w:bottom w:w="100" w:type="nil"/>
              <w:right w:w="100" w:type="nil"/>
            </w:tcMar>
            <w:vAlign w:val="center"/>
          </w:tcPr>
          <w:p w14:paraId="1A78FB27"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5.3</w:t>
            </w:r>
          </w:p>
        </w:tc>
        <w:tc>
          <w:tcPr>
            <w:tcW w:w="1020" w:type="dxa"/>
            <w:tcMar>
              <w:top w:w="100" w:type="nil"/>
              <w:left w:w="100" w:type="nil"/>
              <w:bottom w:w="100" w:type="nil"/>
              <w:right w:w="100" w:type="nil"/>
            </w:tcMar>
            <w:vAlign w:val="center"/>
          </w:tcPr>
          <w:p w14:paraId="2E47D146"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6.1</w:t>
            </w:r>
          </w:p>
        </w:tc>
        <w:tc>
          <w:tcPr>
            <w:tcW w:w="1260" w:type="dxa"/>
            <w:gridSpan w:val="2"/>
            <w:tcMar>
              <w:top w:w="100" w:type="nil"/>
              <w:left w:w="100" w:type="nil"/>
              <w:bottom w:w="100" w:type="nil"/>
              <w:right w:w="100" w:type="nil"/>
            </w:tcMar>
            <w:vAlign w:val="center"/>
          </w:tcPr>
          <w:p w14:paraId="1434368F"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6.5</w:t>
            </w:r>
          </w:p>
        </w:tc>
        <w:tc>
          <w:tcPr>
            <w:tcW w:w="1580" w:type="dxa"/>
            <w:gridSpan w:val="3"/>
            <w:tcMar>
              <w:top w:w="100" w:type="nil"/>
              <w:left w:w="100" w:type="nil"/>
              <w:bottom w:w="100" w:type="nil"/>
              <w:right w:w="100" w:type="nil"/>
            </w:tcMar>
            <w:vAlign w:val="center"/>
          </w:tcPr>
          <w:p w14:paraId="321DD468"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5.9</w:t>
            </w:r>
          </w:p>
        </w:tc>
        <w:tc>
          <w:tcPr>
            <w:tcW w:w="1540" w:type="dxa"/>
            <w:tcMar>
              <w:top w:w="100" w:type="nil"/>
              <w:left w:w="100" w:type="nil"/>
              <w:bottom w:w="100" w:type="nil"/>
              <w:right w:w="100" w:type="nil"/>
            </w:tcMar>
            <w:vAlign w:val="center"/>
          </w:tcPr>
          <w:p w14:paraId="3D6A660F"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6.5</w:t>
            </w:r>
          </w:p>
        </w:tc>
        <w:tc>
          <w:tcPr>
            <w:tcW w:w="1240" w:type="dxa"/>
            <w:gridSpan w:val="2"/>
            <w:tcMar>
              <w:top w:w="100" w:type="nil"/>
              <w:left w:w="100" w:type="nil"/>
              <w:bottom w:w="100" w:type="nil"/>
              <w:right w:w="100" w:type="nil"/>
            </w:tcMar>
            <w:vAlign w:val="center"/>
          </w:tcPr>
          <w:p w14:paraId="35DA23D8"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4.8</w:t>
            </w:r>
          </w:p>
        </w:tc>
      </w:tr>
      <w:tr w:rsidR="00FD1D09" w14:paraId="312C75AF"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1EAE0102"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November</w:t>
            </w:r>
          </w:p>
        </w:tc>
        <w:tc>
          <w:tcPr>
            <w:tcW w:w="1820" w:type="dxa"/>
            <w:gridSpan w:val="2"/>
            <w:tcMar>
              <w:top w:w="100" w:type="nil"/>
              <w:left w:w="100" w:type="nil"/>
              <w:bottom w:w="100" w:type="nil"/>
              <w:right w:w="100" w:type="nil"/>
            </w:tcMar>
            <w:vAlign w:val="center"/>
          </w:tcPr>
          <w:p w14:paraId="146966B9"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6.1</w:t>
            </w:r>
          </w:p>
        </w:tc>
        <w:tc>
          <w:tcPr>
            <w:tcW w:w="1020" w:type="dxa"/>
            <w:tcMar>
              <w:top w:w="100" w:type="nil"/>
              <w:left w:w="100" w:type="nil"/>
              <w:bottom w:w="100" w:type="nil"/>
              <w:right w:w="100" w:type="nil"/>
            </w:tcMar>
            <w:vAlign w:val="center"/>
          </w:tcPr>
          <w:p w14:paraId="2A967524"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7.2</w:t>
            </w:r>
          </w:p>
        </w:tc>
        <w:tc>
          <w:tcPr>
            <w:tcW w:w="1260" w:type="dxa"/>
            <w:gridSpan w:val="2"/>
            <w:tcMar>
              <w:top w:w="100" w:type="nil"/>
              <w:left w:w="100" w:type="nil"/>
              <w:bottom w:w="100" w:type="nil"/>
              <w:right w:w="100" w:type="nil"/>
            </w:tcMar>
            <w:vAlign w:val="center"/>
          </w:tcPr>
          <w:p w14:paraId="6918A6D0"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6.4</w:t>
            </w:r>
          </w:p>
        </w:tc>
        <w:tc>
          <w:tcPr>
            <w:tcW w:w="1580" w:type="dxa"/>
            <w:gridSpan w:val="3"/>
            <w:tcMar>
              <w:top w:w="100" w:type="nil"/>
              <w:left w:w="100" w:type="nil"/>
              <w:bottom w:w="100" w:type="nil"/>
              <w:right w:w="100" w:type="nil"/>
            </w:tcMar>
            <w:vAlign w:val="center"/>
          </w:tcPr>
          <w:p w14:paraId="71C4775D"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6.0</w:t>
            </w:r>
          </w:p>
        </w:tc>
        <w:tc>
          <w:tcPr>
            <w:tcW w:w="1540" w:type="dxa"/>
            <w:tcMar>
              <w:top w:w="100" w:type="nil"/>
              <w:left w:w="100" w:type="nil"/>
              <w:bottom w:w="100" w:type="nil"/>
              <w:right w:w="100" w:type="nil"/>
            </w:tcMar>
            <w:vAlign w:val="center"/>
          </w:tcPr>
          <w:p w14:paraId="19242A04"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7.0</w:t>
            </w:r>
          </w:p>
        </w:tc>
        <w:tc>
          <w:tcPr>
            <w:tcW w:w="1240" w:type="dxa"/>
            <w:gridSpan w:val="2"/>
            <w:tcMar>
              <w:top w:w="100" w:type="nil"/>
              <w:left w:w="100" w:type="nil"/>
              <w:bottom w:w="100" w:type="nil"/>
              <w:right w:w="100" w:type="nil"/>
            </w:tcMar>
            <w:vAlign w:val="center"/>
          </w:tcPr>
          <w:p w14:paraId="1B6C9F6A"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5.7</w:t>
            </w:r>
          </w:p>
        </w:tc>
      </w:tr>
      <w:tr w:rsidR="00FD1D09" w14:paraId="333BFED9"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11AB7BB1"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December</w:t>
            </w:r>
          </w:p>
        </w:tc>
        <w:tc>
          <w:tcPr>
            <w:tcW w:w="1820" w:type="dxa"/>
            <w:gridSpan w:val="2"/>
            <w:tcMar>
              <w:top w:w="100" w:type="nil"/>
              <w:left w:w="100" w:type="nil"/>
              <w:bottom w:w="100" w:type="nil"/>
              <w:right w:w="100" w:type="nil"/>
            </w:tcMar>
            <w:vAlign w:val="center"/>
          </w:tcPr>
          <w:p w14:paraId="7AB4E2DB"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6.6</w:t>
            </w:r>
          </w:p>
        </w:tc>
        <w:tc>
          <w:tcPr>
            <w:tcW w:w="1020" w:type="dxa"/>
            <w:tcMar>
              <w:top w:w="100" w:type="nil"/>
              <w:left w:w="100" w:type="nil"/>
              <w:bottom w:w="100" w:type="nil"/>
              <w:right w:w="100" w:type="nil"/>
            </w:tcMar>
            <w:vAlign w:val="center"/>
          </w:tcPr>
          <w:p w14:paraId="086FD62F"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8.1</w:t>
            </w:r>
          </w:p>
        </w:tc>
        <w:tc>
          <w:tcPr>
            <w:tcW w:w="1260" w:type="dxa"/>
            <w:gridSpan w:val="2"/>
            <w:tcMar>
              <w:top w:w="100" w:type="nil"/>
              <w:left w:w="100" w:type="nil"/>
              <w:bottom w:w="100" w:type="nil"/>
              <w:right w:w="100" w:type="nil"/>
            </w:tcMar>
            <w:vAlign w:val="center"/>
          </w:tcPr>
          <w:p w14:paraId="45788ED5"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5.9</w:t>
            </w:r>
          </w:p>
        </w:tc>
        <w:tc>
          <w:tcPr>
            <w:tcW w:w="1580" w:type="dxa"/>
            <w:gridSpan w:val="3"/>
            <w:tcMar>
              <w:top w:w="100" w:type="nil"/>
              <w:left w:w="100" w:type="nil"/>
              <w:bottom w:w="100" w:type="nil"/>
              <w:right w:w="100" w:type="nil"/>
            </w:tcMar>
            <w:vAlign w:val="center"/>
          </w:tcPr>
          <w:p w14:paraId="3D0C5F57"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6.3</w:t>
            </w:r>
          </w:p>
        </w:tc>
        <w:tc>
          <w:tcPr>
            <w:tcW w:w="1540" w:type="dxa"/>
            <w:tcMar>
              <w:top w:w="100" w:type="nil"/>
              <w:left w:w="100" w:type="nil"/>
              <w:bottom w:w="100" w:type="nil"/>
              <w:right w:w="100" w:type="nil"/>
            </w:tcMar>
            <w:vAlign w:val="center"/>
          </w:tcPr>
          <w:p w14:paraId="1EB25DE8"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7.5</w:t>
            </w:r>
          </w:p>
        </w:tc>
        <w:tc>
          <w:tcPr>
            <w:tcW w:w="1240" w:type="dxa"/>
            <w:gridSpan w:val="2"/>
            <w:tcMar>
              <w:top w:w="100" w:type="nil"/>
              <w:left w:w="100" w:type="nil"/>
              <w:bottom w:w="100" w:type="nil"/>
              <w:right w:w="100" w:type="nil"/>
            </w:tcMar>
            <w:vAlign w:val="center"/>
          </w:tcPr>
          <w:p w14:paraId="3BC943D4"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6.2</w:t>
            </w:r>
          </w:p>
        </w:tc>
      </w:tr>
      <w:tr w:rsidR="00FD1D09" w14:paraId="27E2C2C4"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1FAC94B7"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Average</w:t>
            </w:r>
          </w:p>
        </w:tc>
        <w:tc>
          <w:tcPr>
            <w:tcW w:w="1820" w:type="dxa"/>
            <w:gridSpan w:val="2"/>
            <w:tcMar>
              <w:top w:w="100" w:type="nil"/>
              <w:left w:w="100" w:type="nil"/>
              <w:bottom w:w="100" w:type="nil"/>
              <w:right w:w="100" w:type="nil"/>
            </w:tcMar>
            <w:vAlign w:val="center"/>
          </w:tcPr>
          <w:p w14:paraId="3AD1E7B4"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4.6</w:t>
            </w:r>
          </w:p>
        </w:tc>
        <w:tc>
          <w:tcPr>
            <w:tcW w:w="1020" w:type="dxa"/>
            <w:tcMar>
              <w:top w:w="100" w:type="nil"/>
              <w:left w:w="100" w:type="nil"/>
              <w:bottom w:w="100" w:type="nil"/>
              <w:right w:w="100" w:type="nil"/>
            </w:tcMar>
            <w:vAlign w:val="center"/>
          </w:tcPr>
          <w:p w14:paraId="21B2B936"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5.3</w:t>
            </w:r>
          </w:p>
        </w:tc>
        <w:tc>
          <w:tcPr>
            <w:tcW w:w="1260" w:type="dxa"/>
            <w:gridSpan w:val="2"/>
            <w:tcMar>
              <w:top w:w="100" w:type="nil"/>
              <w:left w:w="100" w:type="nil"/>
              <w:bottom w:w="100" w:type="nil"/>
              <w:right w:w="100" w:type="nil"/>
            </w:tcMar>
            <w:vAlign w:val="center"/>
          </w:tcPr>
          <w:p w14:paraId="607817C5"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5.8</w:t>
            </w:r>
          </w:p>
        </w:tc>
        <w:tc>
          <w:tcPr>
            <w:tcW w:w="1580" w:type="dxa"/>
            <w:gridSpan w:val="3"/>
            <w:tcMar>
              <w:top w:w="100" w:type="nil"/>
              <w:left w:w="100" w:type="nil"/>
              <w:bottom w:w="100" w:type="nil"/>
              <w:right w:w="100" w:type="nil"/>
            </w:tcMar>
            <w:vAlign w:val="center"/>
          </w:tcPr>
          <w:p w14:paraId="7A34C185"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5.4</w:t>
            </w:r>
          </w:p>
        </w:tc>
        <w:tc>
          <w:tcPr>
            <w:tcW w:w="1540" w:type="dxa"/>
            <w:tcMar>
              <w:top w:w="100" w:type="nil"/>
              <w:left w:w="100" w:type="nil"/>
              <w:bottom w:w="100" w:type="nil"/>
              <w:right w:w="100" w:type="nil"/>
            </w:tcMar>
            <w:vAlign w:val="center"/>
          </w:tcPr>
          <w:p w14:paraId="54F10D2B"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5.6</w:t>
            </w:r>
          </w:p>
        </w:tc>
        <w:tc>
          <w:tcPr>
            <w:tcW w:w="1240" w:type="dxa"/>
            <w:gridSpan w:val="2"/>
            <w:tcMar>
              <w:top w:w="100" w:type="nil"/>
              <w:left w:w="100" w:type="nil"/>
              <w:bottom w:w="100" w:type="nil"/>
              <w:right w:w="100" w:type="nil"/>
            </w:tcMar>
            <w:vAlign w:val="center"/>
          </w:tcPr>
          <w:p w14:paraId="3E92FC38"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3.9</w:t>
            </w:r>
          </w:p>
        </w:tc>
      </w:tr>
      <w:tr w:rsidR="00FD1D09" w14:paraId="6DADB5FF" w14:textId="77777777" w:rsidTr="00FD1D09">
        <w:tblPrEx>
          <w:tblBorders>
            <w:top w:val="none" w:sz="0" w:space="0" w:color="auto"/>
          </w:tblBorders>
        </w:tblPrEx>
        <w:trPr>
          <w:gridAfter w:val="2"/>
          <w:wAfter w:w="1630" w:type="dxa"/>
        </w:trPr>
        <w:tc>
          <w:tcPr>
            <w:tcW w:w="3560" w:type="dxa"/>
            <w:gridSpan w:val="2"/>
            <w:tcMar>
              <w:top w:w="100" w:type="nil"/>
              <w:left w:w="100" w:type="nil"/>
              <w:bottom w:w="100" w:type="nil"/>
              <w:right w:w="100" w:type="nil"/>
            </w:tcMar>
            <w:vAlign w:val="center"/>
          </w:tcPr>
          <w:p w14:paraId="4156AB8D"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Total annual hours peak sun*</w:t>
            </w:r>
          </w:p>
        </w:tc>
        <w:tc>
          <w:tcPr>
            <w:tcW w:w="1820" w:type="dxa"/>
            <w:gridSpan w:val="2"/>
            <w:tcMar>
              <w:top w:w="100" w:type="nil"/>
              <w:left w:w="100" w:type="nil"/>
              <w:bottom w:w="100" w:type="nil"/>
              <w:right w:w="100" w:type="nil"/>
            </w:tcMar>
            <w:vAlign w:val="center"/>
          </w:tcPr>
          <w:p w14:paraId="35000B9A"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1679</w:t>
            </w:r>
          </w:p>
        </w:tc>
        <w:tc>
          <w:tcPr>
            <w:tcW w:w="1020" w:type="dxa"/>
            <w:tcMar>
              <w:top w:w="100" w:type="nil"/>
              <w:left w:w="100" w:type="nil"/>
              <w:bottom w:w="100" w:type="nil"/>
              <w:right w:w="100" w:type="nil"/>
            </w:tcMar>
            <w:vAlign w:val="center"/>
          </w:tcPr>
          <w:p w14:paraId="5DC9E271"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1935</w:t>
            </w:r>
          </w:p>
        </w:tc>
        <w:tc>
          <w:tcPr>
            <w:tcW w:w="1260" w:type="dxa"/>
            <w:gridSpan w:val="2"/>
            <w:tcMar>
              <w:top w:w="100" w:type="nil"/>
              <w:left w:w="100" w:type="nil"/>
              <w:bottom w:w="100" w:type="nil"/>
              <w:right w:w="100" w:type="nil"/>
            </w:tcMar>
            <w:vAlign w:val="center"/>
          </w:tcPr>
          <w:p w14:paraId="2500FE8A"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2117</w:t>
            </w:r>
          </w:p>
        </w:tc>
        <w:tc>
          <w:tcPr>
            <w:tcW w:w="1580" w:type="dxa"/>
            <w:gridSpan w:val="3"/>
            <w:tcMar>
              <w:top w:w="100" w:type="nil"/>
              <w:left w:w="100" w:type="nil"/>
              <w:bottom w:w="100" w:type="nil"/>
              <w:right w:w="100" w:type="nil"/>
            </w:tcMar>
            <w:vAlign w:val="center"/>
          </w:tcPr>
          <w:p w14:paraId="3231C6C8"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1971</w:t>
            </w:r>
          </w:p>
        </w:tc>
        <w:tc>
          <w:tcPr>
            <w:tcW w:w="1540" w:type="dxa"/>
            <w:tcMar>
              <w:top w:w="100" w:type="nil"/>
              <w:left w:w="100" w:type="nil"/>
              <w:bottom w:w="100" w:type="nil"/>
              <w:right w:w="100" w:type="nil"/>
            </w:tcMar>
            <w:vAlign w:val="center"/>
          </w:tcPr>
          <w:p w14:paraId="3AA3A78B" w14:textId="77777777" w:rsidR="00FD1D09" w:rsidRPr="00D45462" w:rsidRDefault="00FD1D09">
            <w:pPr>
              <w:widowControl w:val="0"/>
              <w:autoSpaceDE w:val="0"/>
              <w:autoSpaceDN w:val="0"/>
              <w:adjustRightInd w:val="0"/>
              <w:rPr>
                <w:rFonts w:ascii="Times" w:eastAsiaTheme="minorEastAsia" w:hAnsi="Times" w:cs="Helvetica"/>
              </w:rPr>
            </w:pPr>
            <w:r w:rsidRPr="00D45462">
              <w:rPr>
                <w:rFonts w:ascii="Times" w:eastAsiaTheme="minorEastAsia" w:hAnsi="Times" w:cs="Helvetica"/>
              </w:rPr>
              <w:t>2060</w:t>
            </w:r>
          </w:p>
        </w:tc>
        <w:tc>
          <w:tcPr>
            <w:tcW w:w="1240" w:type="dxa"/>
            <w:gridSpan w:val="2"/>
            <w:tcMar>
              <w:top w:w="100" w:type="nil"/>
              <w:left w:w="100" w:type="nil"/>
              <w:bottom w:w="100" w:type="nil"/>
              <w:right w:w="100" w:type="nil"/>
            </w:tcMar>
            <w:vAlign w:val="center"/>
          </w:tcPr>
          <w:p w14:paraId="335F64E0" w14:textId="77777777" w:rsidR="00FD1D09" w:rsidRDefault="00FD1D09">
            <w:pPr>
              <w:widowControl w:val="0"/>
              <w:autoSpaceDE w:val="0"/>
              <w:autoSpaceDN w:val="0"/>
              <w:adjustRightInd w:val="0"/>
              <w:rPr>
                <w:rFonts w:ascii="Helvetica" w:eastAsiaTheme="minorEastAsia" w:hAnsi="Helvetica" w:cs="Helvetica"/>
                <w:sz w:val="32"/>
                <w:szCs w:val="32"/>
              </w:rPr>
            </w:pPr>
            <w:r>
              <w:rPr>
                <w:rFonts w:ascii="Helvetica" w:eastAsiaTheme="minorEastAsia" w:hAnsi="Helvetica" w:cs="Helvetica"/>
                <w:sz w:val="32"/>
                <w:szCs w:val="32"/>
              </w:rPr>
              <w:t>1424</w:t>
            </w:r>
          </w:p>
        </w:tc>
      </w:tr>
    </w:tbl>
    <w:p w14:paraId="7A9F6994" w14:textId="4D67C6F8" w:rsidR="00FD1D09" w:rsidRDefault="00FD1D09"/>
    <w:p w14:paraId="50A2469B" w14:textId="6D474967" w:rsidR="00FD1D09" w:rsidRDefault="00421E7F">
      <w:r>
        <w:tab/>
        <w:t>4</w:t>
      </w:r>
      <w:r w:rsidR="00FD1D09">
        <w:t xml:space="preserve">.  Australia has 3.2 GW of installed solar PV.  </w:t>
      </w:r>
    </w:p>
    <w:p w14:paraId="74B610B1" w14:textId="07AB505D" w:rsidR="004F002D" w:rsidRDefault="004F002D">
      <w:r>
        <w:tab/>
      </w:r>
      <w:r>
        <w:tab/>
        <w:t>(a)  Which are the sunniest three months in Australia?</w:t>
      </w:r>
    </w:p>
    <w:p w14:paraId="4E0782B8" w14:textId="112EAF7D" w:rsidR="004F002D" w:rsidRDefault="004F002D">
      <w:r>
        <w:tab/>
      </w:r>
      <w:r>
        <w:tab/>
        <w:t>(b)  Which is the sunniest of these five Australian cities?</w:t>
      </w:r>
    </w:p>
    <w:p w14:paraId="7C7B7B40" w14:textId="2F3639CA" w:rsidR="00FD1D09" w:rsidRDefault="004F002D">
      <w:r>
        <w:tab/>
      </w:r>
      <w:r>
        <w:tab/>
        <w:t>(c</w:t>
      </w:r>
      <w:r w:rsidR="00FD1D09">
        <w:t xml:space="preserve">)  </w:t>
      </w:r>
      <w:r>
        <w:t xml:space="preserve">Reflect.  </w:t>
      </w:r>
      <w:r w:rsidR="00FD1D09">
        <w:t>Estimate the average hours of peak sun per day for Australia.</w:t>
      </w:r>
    </w:p>
    <w:p w14:paraId="28344960" w14:textId="0026EA36" w:rsidR="00FD1D09" w:rsidRDefault="004F002D">
      <w:r>
        <w:tab/>
      </w:r>
      <w:r>
        <w:tab/>
        <w:t>(d</w:t>
      </w:r>
      <w:r w:rsidR="00FD1D09">
        <w:t>)  Estimate the kWh/year of solar electricity in Australia.</w:t>
      </w:r>
    </w:p>
    <w:p w14:paraId="78EFBCEA" w14:textId="5B541DC8" w:rsidR="00FD1D09" w:rsidRDefault="004F002D">
      <w:r>
        <w:tab/>
      </w:r>
      <w:r>
        <w:tab/>
        <w:t>(e</w:t>
      </w:r>
      <w:r w:rsidR="00FD1D09">
        <w:t>)  What percent of Australia’s electricity is solar?</w:t>
      </w:r>
    </w:p>
    <w:p w14:paraId="6FE2DADB" w14:textId="77777777" w:rsidR="008D735F" w:rsidRDefault="008D735F"/>
    <w:p w14:paraId="5891C26D" w14:textId="12F12007" w:rsidR="00477D57" w:rsidRDefault="004F002D">
      <w:pPr>
        <w:rPr>
          <w:b/>
          <w:sz w:val="28"/>
          <w:szCs w:val="28"/>
        </w:rPr>
      </w:pPr>
      <w:r>
        <w:rPr>
          <w:b/>
          <w:sz w:val="28"/>
          <w:szCs w:val="28"/>
        </w:rPr>
        <w:tab/>
      </w:r>
      <w:r w:rsidR="008D735F">
        <w:rPr>
          <w:b/>
          <w:sz w:val="28"/>
          <w:szCs w:val="28"/>
        </w:rPr>
        <w:t>3.  Wind Power</w:t>
      </w:r>
    </w:p>
    <w:p w14:paraId="476675D3" w14:textId="77777777" w:rsidR="004F002D" w:rsidRPr="00C0184D" w:rsidRDefault="004F002D">
      <w:pPr>
        <w:rPr>
          <w:b/>
          <w:sz w:val="28"/>
          <w:szCs w:val="28"/>
        </w:rPr>
      </w:pPr>
    </w:p>
    <w:p w14:paraId="76047949" w14:textId="10F5D357" w:rsidR="00477D57" w:rsidRDefault="00421E7F">
      <w:r>
        <w:tab/>
        <w:t>5</w:t>
      </w:r>
      <w:r w:rsidR="00477D57">
        <w:t xml:space="preserve">.  Oddly enough, Australia also has 3.2 GW of installed wind power.  </w:t>
      </w:r>
    </w:p>
    <w:p w14:paraId="6ADCC3CF" w14:textId="445B1B50" w:rsidR="00477D57" w:rsidRDefault="00477D57">
      <w:r>
        <w:tab/>
      </w:r>
      <w:r>
        <w:tab/>
        <w:t xml:space="preserve">(a)  Use a 25% capacity factor to estimate the kWh/year of wind power in </w:t>
      </w:r>
      <w:r>
        <w:tab/>
      </w:r>
      <w:r>
        <w:tab/>
      </w:r>
      <w:r>
        <w:tab/>
        <w:t>Australia.</w:t>
      </w:r>
    </w:p>
    <w:p w14:paraId="7633A992" w14:textId="01E34E7C" w:rsidR="00477D57" w:rsidRDefault="00477D57">
      <w:r>
        <w:tab/>
      </w:r>
      <w:r>
        <w:tab/>
        <w:t>(b)  What percent of Australia’s electricity is wind energy?</w:t>
      </w:r>
    </w:p>
    <w:p w14:paraId="66D741BA" w14:textId="77777777" w:rsidR="00C0184D" w:rsidRDefault="00C0184D"/>
    <w:p w14:paraId="08468ABF" w14:textId="6B76F37C" w:rsidR="00477D57" w:rsidRDefault="004F002D">
      <w:pPr>
        <w:rPr>
          <w:b/>
          <w:sz w:val="28"/>
          <w:szCs w:val="28"/>
        </w:rPr>
      </w:pPr>
      <w:r>
        <w:rPr>
          <w:b/>
          <w:sz w:val="28"/>
          <w:szCs w:val="28"/>
        </w:rPr>
        <w:tab/>
      </w:r>
      <w:r w:rsidR="00C0184D">
        <w:rPr>
          <w:b/>
          <w:sz w:val="28"/>
          <w:szCs w:val="28"/>
        </w:rPr>
        <w:t>4.  Hydropower</w:t>
      </w:r>
    </w:p>
    <w:p w14:paraId="2BE53363" w14:textId="77777777" w:rsidR="004F002D" w:rsidRPr="00C0184D" w:rsidRDefault="004F002D">
      <w:pPr>
        <w:rPr>
          <w:b/>
          <w:sz w:val="28"/>
          <w:szCs w:val="28"/>
        </w:rPr>
      </w:pPr>
    </w:p>
    <w:p w14:paraId="15456E80" w14:textId="022CD531" w:rsidR="00477D57" w:rsidRDefault="00421E7F">
      <w:r>
        <w:tab/>
        <w:t>6</w:t>
      </w:r>
      <w:r w:rsidR="00477D57">
        <w:t>.  Australia has 7.8 GW of  hydropower dams.</w:t>
      </w:r>
    </w:p>
    <w:p w14:paraId="23ACD5F2" w14:textId="136DDC15" w:rsidR="00477D57" w:rsidRDefault="00477D57">
      <w:r>
        <w:tab/>
      </w:r>
      <w:r>
        <w:tab/>
        <w:t>(a)  Use the world average dam capacity factor of 42% to estimate the</w:t>
      </w:r>
    </w:p>
    <w:p w14:paraId="243153F0" w14:textId="4AEA2C27" w:rsidR="00477D57" w:rsidRDefault="00477D57">
      <w:r>
        <w:tab/>
      </w:r>
      <w:r>
        <w:tab/>
        <w:t>kWh/year of hydropower electricity in Australia.</w:t>
      </w:r>
    </w:p>
    <w:p w14:paraId="78A0C673" w14:textId="2628BAAA" w:rsidR="00477D57" w:rsidRDefault="00477D57">
      <w:r>
        <w:tab/>
      </w:r>
      <w:r>
        <w:tab/>
        <w:t>(b)  What percent of Australia’s electricity is hydropower?</w:t>
      </w:r>
    </w:p>
    <w:p w14:paraId="0E544EFF" w14:textId="10EE3204" w:rsidR="003D0B45" w:rsidRDefault="003D0B45">
      <w:r>
        <w:tab/>
      </w:r>
      <w:r>
        <w:tab/>
        <w:t xml:space="preserve">(c)  What percent of Australia’s electricity are solar, wind, and </w:t>
      </w:r>
      <w:r>
        <w:tab/>
      </w:r>
      <w:r>
        <w:tab/>
      </w:r>
      <w:r>
        <w:tab/>
      </w:r>
      <w:r>
        <w:tab/>
        <w:t>hydropower combined?</w:t>
      </w:r>
    </w:p>
    <w:p w14:paraId="79858918" w14:textId="77777777" w:rsidR="008D735F" w:rsidRDefault="008D735F"/>
    <w:p w14:paraId="12E95203" w14:textId="560F2EB4" w:rsidR="008D735F" w:rsidRPr="008D735F" w:rsidRDefault="004F002D">
      <w:pPr>
        <w:rPr>
          <w:b/>
          <w:sz w:val="28"/>
          <w:szCs w:val="28"/>
        </w:rPr>
      </w:pPr>
      <w:r>
        <w:rPr>
          <w:b/>
          <w:sz w:val="28"/>
          <w:szCs w:val="28"/>
        </w:rPr>
        <w:tab/>
      </w:r>
      <w:r w:rsidR="008D735F" w:rsidRPr="008D735F">
        <w:rPr>
          <w:b/>
          <w:sz w:val="28"/>
          <w:szCs w:val="28"/>
        </w:rPr>
        <w:t>5.  Geothermal</w:t>
      </w:r>
      <w:r w:rsidR="008D735F">
        <w:rPr>
          <w:b/>
          <w:sz w:val="28"/>
          <w:szCs w:val="28"/>
        </w:rPr>
        <w:t xml:space="preserve"> Energy</w:t>
      </w:r>
    </w:p>
    <w:p w14:paraId="5E83FB6A" w14:textId="77777777" w:rsidR="008D735F" w:rsidRPr="008D735F" w:rsidRDefault="008D735F">
      <w:pPr>
        <w:rPr>
          <w:b/>
          <w:sz w:val="28"/>
          <w:szCs w:val="28"/>
        </w:rPr>
      </w:pPr>
    </w:p>
    <w:p w14:paraId="7419E485" w14:textId="77777777" w:rsidR="008D735F" w:rsidRPr="008D735F" w:rsidRDefault="008D735F" w:rsidP="008D735F">
      <w:pPr>
        <w:widowControl w:val="0"/>
        <w:autoSpaceDE w:val="0"/>
        <w:autoSpaceDN w:val="0"/>
        <w:adjustRightInd w:val="0"/>
        <w:spacing w:after="336"/>
        <w:rPr>
          <w:rFonts w:ascii="Times" w:eastAsiaTheme="minorEastAsia" w:hAnsi="Times" w:cs="Georgia"/>
        </w:rPr>
      </w:pPr>
      <w:r w:rsidRPr="008D735F">
        <w:rPr>
          <w:rFonts w:ascii="Times" w:eastAsiaTheme="minorEastAsia" w:hAnsi="Times" w:cs="Georgia"/>
        </w:rPr>
        <w:t xml:space="preserve">Yesterday Google announced that it was </w:t>
      </w:r>
      <w:hyperlink r:id="rId11" w:history="1">
        <w:r w:rsidRPr="008D735F">
          <w:rPr>
            <w:rFonts w:ascii="Times" w:eastAsiaTheme="minorEastAsia" w:hAnsi="Times" w:cs="Georgia"/>
            <w:color w:val="063163"/>
            <w:u w:val="single" w:color="063163"/>
          </w:rPr>
          <w:t>getting into the geothermal power game</w:t>
        </w:r>
      </w:hyperlink>
      <w:r w:rsidRPr="008D735F">
        <w:rPr>
          <w:rFonts w:ascii="Times" w:eastAsiaTheme="minorEastAsia" w:hAnsi="Times" w:cs="Georgia"/>
        </w:rPr>
        <w:t>, investing over $10 million into researching Enhanced Geothermal Systems. It is estimated that using this technology, just 2% of the heat below North America would easily supply all of the United States’ current energy needs.</w:t>
      </w:r>
    </w:p>
    <w:p w14:paraId="2060C0B9" w14:textId="31E3D650" w:rsidR="008D735F" w:rsidRPr="008D735F" w:rsidRDefault="008D735F" w:rsidP="008D735F">
      <w:pPr>
        <w:widowControl w:val="0"/>
        <w:autoSpaceDE w:val="0"/>
        <w:autoSpaceDN w:val="0"/>
        <w:adjustRightInd w:val="0"/>
        <w:spacing w:after="336"/>
        <w:rPr>
          <w:rFonts w:ascii="Times" w:eastAsiaTheme="minorEastAsia" w:hAnsi="Times" w:cs="Georgia"/>
        </w:rPr>
      </w:pPr>
      <w:r w:rsidRPr="008D735F">
        <w:rPr>
          <w:rFonts w:ascii="Times" w:eastAsiaTheme="minorEastAsia" w:hAnsi="Times" w:cs="Georgia"/>
        </w:rPr>
        <w:t xml:space="preserve">Now, a new report shows similarly large geothermal potential in Australia: An Australian government scientist told </w:t>
      </w:r>
      <w:hyperlink r:id="rId12" w:history="1">
        <w:r w:rsidRPr="008D735F">
          <w:rPr>
            <w:rFonts w:ascii="Times" w:eastAsiaTheme="minorEastAsia" w:hAnsi="Times" w:cs="Georgia"/>
            <w:color w:val="063163"/>
            <w:u w:val="single" w:color="063163"/>
          </w:rPr>
          <w:t>Reuters</w:t>
        </w:r>
      </w:hyperlink>
      <w:r w:rsidRPr="008D735F">
        <w:rPr>
          <w:rFonts w:ascii="Times" w:eastAsiaTheme="minorEastAsia" w:hAnsi="Times" w:cs="Georgia"/>
        </w:rPr>
        <w:t xml:space="preserve"> that 1% of the nation’s untapped geothermal potential could create e</w:t>
      </w:r>
      <w:r w:rsidR="00D45462">
        <w:rPr>
          <w:rFonts w:ascii="Times" w:eastAsiaTheme="minorEastAsia" w:hAnsi="Times" w:cs="Georgia"/>
        </w:rPr>
        <w:t xml:space="preserve">nough energy for 26,000 years. </w:t>
      </w:r>
    </w:p>
    <w:p w14:paraId="08510606" w14:textId="5CF7E2CB" w:rsidR="008D735F" w:rsidRPr="008D735F" w:rsidRDefault="008D735F" w:rsidP="008D735F">
      <w:pPr>
        <w:rPr>
          <w:rFonts w:ascii="Times" w:eastAsiaTheme="minorEastAsia" w:hAnsi="Times" w:cs="Georgia"/>
        </w:rPr>
      </w:pPr>
      <w:r w:rsidRPr="008D735F">
        <w:rPr>
          <w:rFonts w:ascii="Times" w:eastAsiaTheme="minorEastAsia" w:hAnsi="Times" w:cs="Georgia"/>
          <w:b/>
          <w:bCs/>
        </w:rPr>
        <w:t>2200 MW of Geothermal Power by 2020</w:t>
      </w:r>
      <w:r w:rsidRPr="008D735F">
        <w:rPr>
          <w:rFonts w:ascii="Times" w:eastAsiaTheme="minorEastAsia" w:hAnsi="Times" w:cs="Georgia"/>
        </w:rPr>
        <w:t> </w:t>
      </w:r>
      <w:r w:rsidR="003D0B45">
        <w:rPr>
          <w:rFonts w:ascii="Times" w:eastAsiaTheme="minorEastAsia" w:hAnsi="Times" w:cs="Georgia"/>
        </w:rPr>
        <w:t xml:space="preserve">  </w:t>
      </w:r>
      <w:r w:rsidRPr="008D735F">
        <w:rPr>
          <w:rFonts w:ascii="Times" w:eastAsiaTheme="minorEastAsia" w:hAnsi="Times" w:cs="Georgia"/>
        </w:rPr>
        <w:t>The AGEA report says that under current government policy up to 2200 megawatts of geothermal power could be developed by 2020, adding that this would represent 40% of the government’s current renewable energy target of 45,000 GWh (20% of total e</w:t>
      </w:r>
      <w:r w:rsidR="00A54747">
        <w:rPr>
          <w:rFonts w:ascii="Times" w:eastAsiaTheme="minorEastAsia" w:hAnsi="Times" w:cs="Georgia"/>
        </w:rPr>
        <w:t>lectric demand). It would take A</w:t>
      </w:r>
      <w:r w:rsidRPr="008D735F">
        <w:rPr>
          <w:rFonts w:ascii="Times" w:eastAsiaTheme="minorEastAsia" w:hAnsi="Times" w:cs="Georgia"/>
        </w:rPr>
        <w:t>$ 12-billion (US$ 10.45 billion) to develop this amount of installed capacity.</w:t>
      </w:r>
    </w:p>
    <w:p w14:paraId="3EC6D539" w14:textId="4A938042" w:rsidR="008D735F" w:rsidRPr="003D0B45" w:rsidRDefault="00DA09E7" w:rsidP="008D735F">
      <w:pPr>
        <w:rPr>
          <w:sz w:val="20"/>
          <w:szCs w:val="20"/>
        </w:rPr>
      </w:pPr>
      <w:hyperlink r:id="rId13" w:history="1">
        <w:r w:rsidR="008D735F" w:rsidRPr="003D0B45">
          <w:rPr>
            <w:rStyle w:val="Hyperlink"/>
            <w:sz w:val="20"/>
            <w:szCs w:val="20"/>
          </w:rPr>
          <w:t>http://www.treehugger.com/renewable-energy/1-of-australiaatms-geothermal-power-potential-26000-years-of-energy.html</w:t>
        </w:r>
      </w:hyperlink>
    </w:p>
    <w:p w14:paraId="3CDF5682" w14:textId="77777777" w:rsidR="008D735F" w:rsidRPr="003D0B45" w:rsidRDefault="008D735F" w:rsidP="008D735F">
      <w:pPr>
        <w:rPr>
          <w:sz w:val="20"/>
          <w:szCs w:val="20"/>
        </w:rPr>
      </w:pPr>
    </w:p>
    <w:p w14:paraId="057CF752" w14:textId="22452AB0" w:rsidR="00477D57" w:rsidRDefault="00421E7F">
      <w:r>
        <w:tab/>
        <w:t>7</w:t>
      </w:r>
      <w:r w:rsidR="003D0B45">
        <w:t>.  Bloomberg Finance gives a capacity factor for Geothermal of 73%.</w:t>
      </w:r>
    </w:p>
    <w:p w14:paraId="5ED17C63" w14:textId="7EA1A7DE" w:rsidR="003D0B45" w:rsidRDefault="003D0B45">
      <w:r>
        <w:tab/>
      </w:r>
      <w:r>
        <w:tab/>
        <w:t>(a)  If 2200 MW geothermal have a capacity factor of 73%, how many</w:t>
      </w:r>
    </w:p>
    <w:p w14:paraId="30D88CE3" w14:textId="54CBED36" w:rsidR="003D0B45" w:rsidRDefault="003D0B45">
      <w:r>
        <w:tab/>
      </w:r>
      <w:r>
        <w:tab/>
        <w:t>MW would they produce on average?</w:t>
      </w:r>
    </w:p>
    <w:p w14:paraId="1AB1F3D3" w14:textId="7A4A9368" w:rsidR="003D0B45" w:rsidRDefault="003D0B45">
      <w:r>
        <w:tab/>
      </w:r>
      <w:r>
        <w:tab/>
        <w:t>(b)  Calculate the</w:t>
      </w:r>
      <w:r w:rsidR="00AD63E1">
        <w:t xml:space="preserve"> construction</w:t>
      </w:r>
      <w:r w:rsidR="004F002D">
        <w:t xml:space="preserve"> cost of the geothermal</w:t>
      </w:r>
      <w:r>
        <w:t xml:space="preserve"> in </w:t>
      </w:r>
      <w:r w:rsidR="00AD63E1">
        <w:t>US</w:t>
      </w:r>
      <w:r>
        <w:t xml:space="preserve"> dollars </w:t>
      </w:r>
      <w:r w:rsidR="00AD63E1">
        <w:tab/>
      </w:r>
      <w:r w:rsidR="00AD63E1">
        <w:tab/>
      </w:r>
      <w:r w:rsidR="00AD63E1">
        <w:tab/>
      </w:r>
      <w:r>
        <w:t>per MW</w:t>
      </w:r>
      <w:r w:rsidR="00A54747">
        <w:t xml:space="preserve"> produced</w:t>
      </w:r>
      <w:r>
        <w:t xml:space="preserve">.  </w:t>
      </w:r>
    </w:p>
    <w:p w14:paraId="4C7521AC" w14:textId="2CC45F83" w:rsidR="003D0B45" w:rsidRDefault="003D0B45">
      <w:r>
        <w:tab/>
      </w:r>
      <w:r>
        <w:tab/>
        <w:t>(c)  A 1000 MW nuclear reactor</w:t>
      </w:r>
      <w:r w:rsidR="00AD63E1">
        <w:t xml:space="preserve"> costs about 10 billion US$ to construct </w:t>
      </w:r>
      <w:r w:rsidR="00AD63E1">
        <w:tab/>
      </w:r>
      <w:r w:rsidR="00AD63E1">
        <w:tab/>
      </w:r>
      <w:r w:rsidR="00AD63E1">
        <w:tab/>
        <w:t xml:space="preserve">and has a capacity factor of about 90%.  Calculate the construction cost of </w:t>
      </w:r>
      <w:r w:rsidR="00AD63E1">
        <w:tab/>
      </w:r>
      <w:r w:rsidR="00AD63E1">
        <w:tab/>
      </w:r>
      <w:r w:rsidR="00AD63E1">
        <w:tab/>
        <w:t>the reactor in US dollars per MW</w:t>
      </w:r>
      <w:r w:rsidR="00A54747">
        <w:t xml:space="preserve"> produced</w:t>
      </w:r>
      <w:r w:rsidR="00AD63E1">
        <w:t>.</w:t>
      </w:r>
    </w:p>
    <w:p w14:paraId="3B898A18" w14:textId="240EFB13" w:rsidR="00AD63E1" w:rsidRDefault="00AD63E1">
      <w:r>
        <w:tab/>
      </w:r>
      <w:r>
        <w:tab/>
        <w:t xml:space="preserve">(d)  The construction costs of a nuclear reactor per MW produced are what </w:t>
      </w:r>
      <w:r>
        <w:tab/>
      </w:r>
      <w:r>
        <w:tab/>
        <w:t xml:space="preserve">percent more than the construction costs per MW produced for the </w:t>
      </w:r>
      <w:r>
        <w:tab/>
      </w:r>
      <w:r>
        <w:tab/>
      </w:r>
      <w:r>
        <w:tab/>
      </w:r>
      <w:r>
        <w:tab/>
        <w:t>geothermal in Australia?</w:t>
      </w:r>
    </w:p>
    <w:p w14:paraId="528369EF" w14:textId="77777777" w:rsidR="00421E7F" w:rsidRDefault="00421E7F"/>
    <w:p w14:paraId="1683D5C6" w14:textId="57EE9D9C" w:rsidR="00421E7F" w:rsidRDefault="00421E7F">
      <w:r>
        <w:tab/>
        <w:t xml:space="preserve">8.  </w:t>
      </w:r>
      <w:r w:rsidR="004F002D">
        <w:t xml:space="preserve">Reflect.  </w:t>
      </w:r>
      <w:r>
        <w:t xml:space="preserve">Is 45,000 GWh/year actually about 20% of total Australian </w:t>
      </w:r>
      <w:r w:rsidR="004F002D">
        <w:tab/>
      </w:r>
      <w:r w:rsidR="004F002D">
        <w:tab/>
      </w:r>
      <w:r w:rsidR="004F002D">
        <w:tab/>
      </w:r>
      <w:r w:rsidR="004F002D">
        <w:tab/>
      </w:r>
      <w:r>
        <w:t>elect</w:t>
      </w:r>
      <w:r w:rsidR="004F002D">
        <w:t xml:space="preserve">ricity?  Show </w:t>
      </w:r>
      <w:r w:rsidR="00D45462">
        <w:t>why or why not.</w:t>
      </w:r>
    </w:p>
    <w:p w14:paraId="6609D764" w14:textId="77777777" w:rsidR="00421E7F" w:rsidRDefault="00421E7F"/>
    <w:p w14:paraId="2298F72A" w14:textId="77A58480" w:rsidR="00421E7F" w:rsidRDefault="00D45462">
      <w:r>
        <w:tab/>
        <w:t xml:space="preserve">9.  </w:t>
      </w:r>
      <w:r>
        <w:tab/>
        <w:t xml:space="preserve">(a)  How many kWh/year would 2200 MW geothermal supply?  Use 73% </w:t>
      </w:r>
      <w:r>
        <w:tab/>
      </w:r>
      <w:r>
        <w:tab/>
      </w:r>
      <w:r>
        <w:tab/>
        <w:t>capacity factor.</w:t>
      </w:r>
    </w:p>
    <w:p w14:paraId="674C354B" w14:textId="705088BB" w:rsidR="00D45462" w:rsidRDefault="00D45462">
      <w:r>
        <w:tab/>
      </w:r>
      <w:r>
        <w:tab/>
        <w:t xml:space="preserve">(b)  2200 MW geothermal will supply what percent of the 45,000 GWh </w:t>
      </w:r>
      <w:r>
        <w:tab/>
      </w:r>
      <w:r>
        <w:tab/>
      </w:r>
      <w:r>
        <w:tab/>
        <w:t>goal?</w:t>
      </w:r>
    </w:p>
    <w:p w14:paraId="0CA190DC" w14:textId="77777777" w:rsidR="00D45462" w:rsidRDefault="00D45462"/>
    <w:p w14:paraId="2D3EFA93" w14:textId="70D067C4" w:rsidR="00D45462" w:rsidRDefault="004F002D">
      <w:r>
        <w:tab/>
        <w:t>10.  Which renewable could</w:t>
      </w:r>
      <w:r w:rsidR="00D45462">
        <w:t xml:space="preserve"> provide all renewable electricity</w:t>
      </w:r>
      <w:r>
        <w:t xml:space="preserve"> for Australia</w:t>
      </w:r>
      <w:r w:rsidR="00D45462">
        <w:t>?  F</w:t>
      </w:r>
      <w:r w:rsidR="00386E05">
        <w:t xml:space="preserve">ind </w:t>
      </w:r>
      <w:r>
        <w:tab/>
      </w:r>
      <w:r>
        <w:tab/>
      </w:r>
      <w:r>
        <w:tab/>
      </w:r>
      <w:r w:rsidR="00386E05">
        <w:t xml:space="preserve">a fact supporting your answer in this unit. </w:t>
      </w:r>
    </w:p>
    <w:p w14:paraId="5C9A515D" w14:textId="77777777" w:rsidR="00D45462" w:rsidRDefault="00D45462"/>
    <w:p w14:paraId="3DF26943" w14:textId="17BD153F" w:rsidR="00AD63E1" w:rsidRDefault="00AD63E1">
      <w:r>
        <w:tab/>
      </w:r>
      <w:r>
        <w:tab/>
      </w:r>
    </w:p>
    <w:p w14:paraId="73AE5442" w14:textId="77777777" w:rsidR="00477D57" w:rsidRDefault="00477D57"/>
    <w:p w14:paraId="412011E7" w14:textId="0567B12B" w:rsidR="00477D57" w:rsidRDefault="00477D57">
      <w:r>
        <w:tab/>
      </w:r>
    </w:p>
    <w:p w14:paraId="202F636E" w14:textId="77777777" w:rsidR="00FD1D09" w:rsidRPr="001B6D57" w:rsidRDefault="00FD1D09">
      <w:r>
        <w:tab/>
      </w:r>
      <w:r>
        <w:tab/>
      </w:r>
    </w:p>
    <w:sectPr w:rsidR="00FD1D09" w:rsidRPr="001B6D57" w:rsidSect="00AF774F">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9BFE0" w14:textId="77777777" w:rsidR="00A54747" w:rsidRDefault="00A54747" w:rsidP="0021171E">
      <w:r>
        <w:separator/>
      </w:r>
    </w:p>
  </w:endnote>
  <w:endnote w:type="continuationSeparator" w:id="0">
    <w:p w14:paraId="27B039EC" w14:textId="77777777" w:rsidR="00A54747" w:rsidRDefault="00A54747" w:rsidP="0021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48B29" w14:textId="77777777" w:rsidR="00A54747" w:rsidRDefault="00A54747" w:rsidP="00211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43DD2" w14:textId="77777777" w:rsidR="00A54747" w:rsidRDefault="00A54747" w:rsidP="0021171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9E088" w14:textId="77777777" w:rsidR="00A54747" w:rsidRDefault="00A54747" w:rsidP="00211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09E7">
      <w:rPr>
        <w:rStyle w:val="PageNumber"/>
        <w:noProof/>
      </w:rPr>
      <w:t>1</w:t>
    </w:r>
    <w:r>
      <w:rPr>
        <w:rStyle w:val="PageNumber"/>
      </w:rPr>
      <w:fldChar w:fldCharType="end"/>
    </w:r>
  </w:p>
  <w:p w14:paraId="641EFB41" w14:textId="77777777" w:rsidR="00A54747" w:rsidRDefault="00A54747" w:rsidP="0021171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EB32B" w14:textId="77777777" w:rsidR="00A54747" w:rsidRDefault="00A54747" w:rsidP="0021171E">
      <w:r>
        <w:separator/>
      </w:r>
    </w:p>
  </w:footnote>
  <w:footnote w:type="continuationSeparator" w:id="0">
    <w:p w14:paraId="78FAAAF6" w14:textId="77777777" w:rsidR="00A54747" w:rsidRDefault="00A54747" w:rsidP="00211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C48"/>
    <w:rsid w:val="00136F55"/>
    <w:rsid w:val="001B6D57"/>
    <w:rsid w:val="0021171E"/>
    <w:rsid w:val="00386E05"/>
    <w:rsid w:val="003D0B45"/>
    <w:rsid w:val="00400D8E"/>
    <w:rsid w:val="00421E7F"/>
    <w:rsid w:val="00477D57"/>
    <w:rsid w:val="00495799"/>
    <w:rsid w:val="004F002D"/>
    <w:rsid w:val="00603141"/>
    <w:rsid w:val="006F0C13"/>
    <w:rsid w:val="00744194"/>
    <w:rsid w:val="008D735F"/>
    <w:rsid w:val="00901088"/>
    <w:rsid w:val="00A54747"/>
    <w:rsid w:val="00AD63E1"/>
    <w:rsid w:val="00AF774F"/>
    <w:rsid w:val="00C017EA"/>
    <w:rsid w:val="00C0184D"/>
    <w:rsid w:val="00D11CCA"/>
    <w:rsid w:val="00D45462"/>
    <w:rsid w:val="00D97C48"/>
    <w:rsid w:val="00DA09E7"/>
    <w:rsid w:val="00FD1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FE95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C4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D57"/>
    <w:rPr>
      <w:color w:val="0000FF" w:themeColor="hyperlink"/>
      <w:u w:val="single"/>
    </w:rPr>
  </w:style>
  <w:style w:type="paragraph" w:styleId="BalloonText">
    <w:name w:val="Balloon Text"/>
    <w:basedOn w:val="Normal"/>
    <w:link w:val="BalloonTextChar"/>
    <w:uiPriority w:val="99"/>
    <w:semiHidden/>
    <w:unhideWhenUsed/>
    <w:rsid w:val="001B6D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D57"/>
    <w:rPr>
      <w:rFonts w:ascii="Lucida Grande" w:eastAsia="Times New Roman" w:hAnsi="Lucida Grande" w:cs="Lucida Grande"/>
      <w:sz w:val="18"/>
      <w:szCs w:val="18"/>
    </w:rPr>
  </w:style>
  <w:style w:type="paragraph" w:styleId="Footer">
    <w:name w:val="footer"/>
    <w:basedOn w:val="Normal"/>
    <w:link w:val="FooterChar"/>
    <w:uiPriority w:val="99"/>
    <w:unhideWhenUsed/>
    <w:rsid w:val="0021171E"/>
    <w:pPr>
      <w:tabs>
        <w:tab w:val="center" w:pos="4320"/>
        <w:tab w:val="right" w:pos="8640"/>
      </w:tabs>
    </w:pPr>
  </w:style>
  <w:style w:type="character" w:customStyle="1" w:styleId="FooterChar">
    <w:name w:val="Footer Char"/>
    <w:basedOn w:val="DefaultParagraphFont"/>
    <w:link w:val="Footer"/>
    <w:uiPriority w:val="99"/>
    <w:rsid w:val="0021171E"/>
    <w:rPr>
      <w:rFonts w:ascii="Times New Roman" w:eastAsia="Times New Roman" w:hAnsi="Times New Roman" w:cs="Times New Roman"/>
    </w:rPr>
  </w:style>
  <w:style w:type="character" w:styleId="PageNumber">
    <w:name w:val="page number"/>
    <w:basedOn w:val="DefaultParagraphFont"/>
    <w:uiPriority w:val="99"/>
    <w:semiHidden/>
    <w:unhideWhenUsed/>
    <w:rsid w:val="0021171E"/>
  </w:style>
  <w:style w:type="character" w:styleId="FollowedHyperlink">
    <w:name w:val="FollowedHyperlink"/>
    <w:basedOn w:val="DefaultParagraphFont"/>
    <w:uiPriority w:val="99"/>
    <w:semiHidden/>
    <w:unhideWhenUsed/>
    <w:rsid w:val="00C017E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C4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D57"/>
    <w:rPr>
      <w:color w:val="0000FF" w:themeColor="hyperlink"/>
      <w:u w:val="single"/>
    </w:rPr>
  </w:style>
  <w:style w:type="paragraph" w:styleId="BalloonText">
    <w:name w:val="Balloon Text"/>
    <w:basedOn w:val="Normal"/>
    <w:link w:val="BalloonTextChar"/>
    <w:uiPriority w:val="99"/>
    <w:semiHidden/>
    <w:unhideWhenUsed/>
    <w:rsid w:val="001B6D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D57"/>
    <w:rPr>
      <w:rFonts w:ascii="Lucida Grande" w:eastAsia="Times New Roman" w:hAnsi="Lucida Grande" w:cs="Lucida Grande"/>
      <w:sz w:val="18"/>
      <w:szCs w:val="18"/>
    </w:rPr>
  </w:style>
  <w:style w:type="paragraph" w:styleId="Footer">
    <w:name w:val="footer"/>
    <w:basedOn w:val="Normal"/>
    <w:link w:val="FooterChar"/>
    <w:uiPriority w:val="99"/>
    <w:unhideWhenUsed/>
    <w:rsid w:val="0021171E"/>
    <w:pPr>
      <w:tabs>
        <w:tab w:val="center" w:pos="4320"/>
        <w:tab w:val="right" w:pos="8640"/>
      </w:tabs>
    </w:pPr>
  </w:style>
  <w:style w:type="character" w:customStyle="1" w:styleId="FooterChar">
    <w:name w:val="Footer Char"/>
    <w:basedOn w:val="DefaultParagraphFont"/>
    <w:link w:val="Footer"/>
    <w:uiPriority w:val="99"/>
    <w:rsid w:val="0021171E"/>
    <w:rPr>
      <w:rFonts w:ascii="Times New Roman" w:eastAsia="Times New Roman" w:hAnsi="Times New Roman" w:cs="Times New Roman"/>
    </w:rPr>
  </w:style>
  <w:style w:type="character" w:styleId="PageNumber">
    <w:name w:val="page number"/>
    <w:basedOn w:val="DefaultParagraphFont"/>
    <w:uiPriority w:val="99"/>
    <w:semiHidden/>
    <w:unhideWhenUsed/>
    <w:rsid w:val="0021171E"/>
  </w:style>
  <w:style w:type="character" w:styleId="FollowedHyperlink">
    <w:name w:val="FollowedHyperlink"/>
    <w:basedOn w:val="DefaultParagraphFont"/>
    <w:uiPriority w:val="99"/>
    <w:semiHidden/>
    <w:unhideWhenUsed/>
    <w:rsid w:val="00C017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reehugger.com/files/2008/08/google-invests-10-million-geothermal-power.php" TargetMode="External"/><Relationship Id="rId12" Type="http://schemas.openxmlformats.org/officeDocument/2006/relationships/hyperlink" Target="http://www.reuters.com/article/environmentNews/idUSSYD30694020080820?sp=true" TargetMode="External"/><Relationship Id="rId13" Type="http://schemas.openxmlformats.org/officeDocument/2006/relationships/hyperlink" Target="http://www.treehugger.com/renewable-energy/1-of-australiaatms-geothermal-power-potential-26000-years-of-energy.html"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ockheedmartin.com/us/news/press-releases/2014/february/140211-mst-worlds-%20%20%09%09largest-wave-energy-project.html" TargetMode="External"/><Relationship Id="rId8" Type="http://schemas.openxmlformats.org/officeDocument/2006/relationships/image" Target="media/image1.jpeg"/><Relationship Id="rId9" Type="http://schemas.openxmlformats.org/officeDocument/2006/relationships/hyperlink" Target="http://www.carnegiewave.com/index.php?url=/media/videolibrary-4" TargetMode="External"/><Relationship Id="rId10" Type="http://schemas.openxmlformats.org/officeDocument/2006/relationships/hyperlink" Target="http://www.carnegiewave.com/index.php?url=/ceto/australian-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1130</Words>
  <Characters>6441</Characters>
  <Application>Microsoft Macintosh Word</Application>
  <DocSecurity>0</DocSecurity>
  <Lines>53</Lines>
  <Paragraphs>15</Paragraphs>
  <ScaleCrop>false</ScaleCrop>
  <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macadmin</dc:creator>
  <cp:keywords/>
  <dc:description/>
  <cp:lastModifiedBy>macadmin</cp:lastModifiedBy>
  <cp:revision>2</cp:revision>
  <cp:lastPrinted>2015-01-06T16:22:00Z</cp:lastPrinted>
  <dcterms:created xsi:type="dcterms:W3CDTF">2015-01-06T16:41:00Z</dcterms:created>
  <dcterms:modified xsi:type="dcterms:W3CDTF">2015-01-06T16:41:00Z</dcterms:modified>
</cp:coreProperties>
</file>